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481—2012.7</w:t>
      </w:r>
      <w:r>
        <w:rPr>
          <w:rFonts w:ascii="Times New Roman" w:hAnsi="Times New Roman"/>
          <w:b/>
          <w:i w:val="false"/>
          <w:color w:val="000000"/>
          <w:sz w:val="22"/>
        </w:rPr>
        <w:t xml:space="preserve">(543B) </w:t>
      </w:r>
      <w:r>
        <w:rPr>
          <w:rFonts w:ascii="Times New Roman" w:hAnsi="Times New Roman"/>
          <w:b/>
          <w:i w:val="false"/>
          <w:color w:val="000000"/>
          <w:sz w:val="22"/>
        </w:rPr>
        <w:t xml:space="preserve">Appointed agent procedures and disclosure.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2012.7(1)</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entering into a brokerage agreement, a real estate brokerage notifies a client in writing of the real estate brokerage’s appointed agent policy and those affiliated licensees in accordance with Iowa Code section </w:t>
      </w:r>
      <w:hyperlink r:id="rId4">
        <w:r>
          <w:rPr>
            <w:rStyle w:val="Hyperlink"/>
            <w:rFonts w:ascii="Times New Roman" w:hAnsi="Times New Roman"/>
            <w:b w:val="false"/>
            <w:i w:val="false"/>
            <w:color w:val="000000"/>
            <w:sz w:val="22"/>
          </w:rPr>
          <w:t>543B.59(1)</w:t>
        </w:r>
      </w:hyperlink>
      <w:r>
        <w:rPr>
          <w:rFonts w:ascii="Times New Roman" w:hAnsi="Times New Roman"/>
          <w:b w:val="false"/>
          <w:i w:val="false"/>
          <w:color w:val="000000"/>
          <w:sz w:val="22"/>
        </w:rPr>
        <w:t>. The appointed agent disclosure includes, at a minimum,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appointed agent(s);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the appointed agent will be representing the client as the client’s agent and will owe the client duties as set forth in Iowa Code section </w:t>
      </w:r>
      <w:hyperlink r:id="rId5">
        <w:r>
          <w:rPr>
            <w:rStyle w:val="Hyperlink"/>
            <w:rFonts w:ascii="Times New Roman" w:hAnsi="Times New Roman"/>
            <w:b w:val="false"/>
            <w:i w:val="false"/>
            <w:color w:val="000000"/>
            <w:sz w:val="22"/>
          </w:rPr>
          <w:t>543B.56</w:t>
        </w:r>
      </w:hyperlink>
      <w:r>
        <w:rPr>
          <w:rFonts w:ascii="Times New Roman" w:hAnsi="Times New Roman"/>
          <w:b w:val="false"/>
          <w:i w:val="false"/>
          <w:color w:val="000000"/>
          <w:sz w:val="22"/>
        </w:rPr>
        <w:t xml:space="preserve">(1) and </w:t>
      </w:r>
      <w:hyperlink r:id="rId6">
        <w:r>
          <w:rPr>
            <w:rStyle w:val="Hyperlink"/>
            <w:rFonts w:ascii="Times New Roman" w:hAnsi="Times New Roman"/>
            <w:b w:val="false"/>
            <w:i w:val="false"/>
            <w:color w:val="000000"/>
            <w:sz w:val="22"/>
          </w:rPr>
          <w:t>543B.56(2)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that the brokerage may be representing both the seller and the buyer in connection with the sale or purchase of real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that other affiliated licensees may be appointed during the term of the brokerage agreement should the appointed agent not be able to fulfill the terms of the brokerage agreement or as by agreement between the designated broker and the client. An appointment of another affiliated licensee or an additional affiliated licensee does not relieve the first appointed agent of any of the duties owed to the client. At any time of the appointment of the new or additional agents, the designated broker complies with the provisions of this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provision for the client to consent or not consent in writing to the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2012.7(2)</w:t>
      </w:r>
      <w:r>
        <w:rPr>
          <w:rFonts w:ascii="Times New Roman" w:hAnsi="Times New Roman"/>
          <w:b w:val="false"/>
          <w:i w:val="false"/>
          <w:color w:val="000000"/>
          <w:sz w:val="22"/>
        </w:rPr>
        <w:t> </w:t>
      </w:r>
      <w:r>
        <w:rPr>
          <w:rFonts w:ascii="Times New Roman" w:hAnsi="Times New Roman"/>
          <w:b w:val="false"/>
          <w:i w:val="false"/>
          <w:color w:val="000000"/>
          <w:sz w:val="22"/>
        </w:rPr>
        <w:t>Implementation of the appointed agent within a brokerage relationship. Any broker may elect to offer the appointed agent relationship. The broker cannot implement the use of the relationship until such time as the broker has fully complied with all Iowa laws and commission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broker cannot, without the written consent of the clients, appoint an affiliated licensee to act as an appointed agent in any transaction involving a written exclusive single agent or dual agent brokerage agreement that was in effect prior to the broker’s implementing the appointed agent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client of an appointed agent wants to consider a property on which the broker has a prior existing exclusive single agent or dual agent brokerage agreement, the broker cannot allow the use of the appointed agent without first obtaining the written consent of that particular seller or landlord to the appointed agent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written consent of the client to allow the appointed agency relationship is not given or cannot be obtained, the broker refers the client of the appointed agent to another broker for representation at least for the purpose of considering such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2012.7(3)</w:t>
      </w:r>
      <w:r>
        <w:rPr>
          <w:rFonts w:ascii="Times New Roman" w:hAnsi="Times New Roman"/>
          <w:b w:val="false"/>
          <w:i w:val="false"/>
          <w:color w:val="000000"/>
          <w:sz w:val="22"/>
        </w:rPr>
        <w:t> </w:t>
      </w:r>
      <w:r>
        <w:rPr>
          <w:rFonts w:ascii="Times New Roman" w:hAnsi="Times New Roman"/>
          <w:b w:val="false"/>
          <w:i w:val="false"/>
          <w:color w:val="000000"/>
          <w:sz w:val="22"/>
        </w:rPr>
        <w:t>A designated broker cannot be considered to be a dual agent solely because the designated broker makes an appointment under this rule, except that any licensee who, with prior written consent of all parties, personally represents both the seller and buyer or both the landlord and tenant in a transaction is a dual agent and needs to comply with the rules governing dual agents.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2012.7(4)</w:t>
      </w:r>
      <w:r>
        <w:rPr>
          <w:rFonts w:ascii="Times New Roman" w:hAnsi="Times New Roman"/>
          <w:b w:val="false"/>
          <w:i w:val="false"/>
          <w:color w:val="000000"/>
          <w:sz w:val="22"/>
        </w:rPr>
        <w:t> </w:t>
      </w:r>
      <w:r>
        <w:rPr>
          <w:rFonts w:ascii="Times New Roman" w:hAnsi="Times New Roman"/>
          <w:b w:val="false"/>
          <w:i w:val="false"/>
          <w:color w:val="000000"/>
          <w:sz w:val="22"/>
        </w:rPr>
        <w:t>Appointed agent and designated broker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designated broker appointing an affiliated licensee(s) to act as an agent of a client takes ordinary and necessary care to protect confidential information disclosed by the client to the appointed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appointed agent may disclose to the brokerage’s designated broker, or a designee specified by the designated broker, confidential information of a client for the purpose of seeking advice or assistance for the benefit of the client in regard to a possible transaction, or to comply with the broker’s supervisory duties. Confidential information is treated as such by the designated broker or other specified representative of the broker and is not disclosed unless otherwise obligated by Iowa law and related commission rules or requested or permitted in writing by the client who originally disclosed the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 designated broker elects to use the appointed agent within a firm authority set forth in Iowa Code section </w:t>
      </w:r>
      <w:hyperlink r:id="rId7">
        <w:r>
          <w:rPr>
            <w:rStyle w:val="Hyperlink"/>
            <w:rFonts w:ascii="Times New Roman" w:hAnsi="Times New Roman"/>
            <w:b w:val="false"/>
            <w:i w:val="false"/>
            <w:color w:val="000000"/>
            <w:sz w:val="22"/>
          </w:rPr>
          <w:t>543B.59</w:t>
        </w:r>
      </w:hyperlink>
      <w:r>
        <w:rPr>
          <w:rFonts w:ascii="Times New Roman" w:hAnsi="Times New Roman"/>
          <w:b w:val="false"/>
          <w:i w:val="false"/>
          <w:color w:val="000000"/>
          <w:sz w:val="22"/>
        </w:rPr>
        <w:t xml:space="preserve">, and when the affiliated licensee appointed also acts in a supervisory capacity under the designated broker, such as branch managers, sales managers and the like, these appointed licensees may be treated in the same manner as the designated broker for purposes of determining dual agency under Iowa Code section </w:t>
      </w:r>
      <w:hyperlink r:id="rId8">
        <w:r>
          <w:rPr>
            <w:rStyle w:val="Hyperlink"/>
            <w:rFonts w:ascii="Times New Roman" w:hAnsi="Times New Roman"/>
            <w:b w:val="false"/>
            <w:i w:val="false"/>
            <w:color w:val="000000"/>
            <w:sz w:val="22"/>
          </w:rPr>
          <w:t>543B.59</w:t>
        </w:r>
      </w:hyperlink>
      <w:r>
        <w:rPr>
          <w:rFonts w:ascii="Times New Roman" w:hAnsi="Times New Roman"/>
          <w:b w:val="false"/>
          <w:i w:val="false"/>
          <w:color w:val="000000"/>
          <w:sz w:val="22"/>
        </w:rPr>
        <w:t>(2), only if the designated broker authorizes and provides for such supervisory positions in the written company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designated broker may elect to authorize and appoint an affiliated licensee in a supervisory capacity to supervise and assist licensees appointed to exclusively represent a seller or landlord in a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designated broker may elect to authorize and appoint an affiliated licensee in a supervisory capacity to supervise and assist licensees appointed to exclusively represent a buyer or tenant in a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licensee in a supervisory capacity that is authorized and appointed to supervise and assist licensees appointed to represent a seller or landlord, or buyer or tenant, exclusively, have the same duties, obligations, and responsibilities as the designated broker.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use of an authorized appointed agent does not relieve the designated broker of duties, obligations, and responsibilities mandated by law or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2012.7(5)</w:t>
      </w:r>
      <w:r>
        <w:rPr>
          <w:rFonts w:ascii="Times New Roman" w:hAnsi="Times New Roman"/>
          <w:b w:val="false"/>
          <w:i w:val="false"/>
          <w:color w:val="000000"/>
          <w:sz w:val="22"/>
        </w:rPr>
        <w:t> </w:t>
      </w:r>
      <w:r>
        <w:rPr>
          <w:rFonts w:ascii="Times New Roman" w:hAnsi="Times New Roman"/>
          <w:b w:val="false"/>
          <w:i w:val="false"/>
          <w:color w:val="000000"/>
          <w:sz w:val="22"/>
        </w:rPr>
        <w:t>Licensee’s duty to designated broker or designee. A licensee keeps the brokerage’s designated broker or that broker’s designee fully informed of all activities conducted on behalf of the brokerage and notifies the designated broker or that broker’s designee of any other activities that might impact on the responsibility of the designated broker or that broker’s designee.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9478C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3B.59.pdf" Type="http://schemas.openxmlformats.org/officeDocument/2006/relationships/hyperlink" Id="rId4"/>
    <Relationship TargetMode="External" Target="https://www.legis.iowa.gov/docs/ico/chapter/543B.56.pdf" Type="http://schemas.openxmlformats.org/officeDocument/2006/relationships/hyperlink" Id="rId5"/>
    <Relationship TargetMode="External" Target="https://www.legis.iowa.gov/docs/ico/chapter/543B.56.pdf" Type="http://schemas.openxmlformats.org/officeDocument/2006/relationships/hyperlink" Id="rId6"/>
    <Relationship TargetMode="External" Target="https://www.legis.iowa.gov/docs/ico/chapter/543B.59.pdf" Type="http://schemas.openxmlformats.org/officeDocument/2006/relationships/hyperlink" Id="rId7"/>
    <Relationship TargetMode="External" Target="https://www.legis.iowa.gov/docs/ico/chapter/543B.59.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