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481—2012.4</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2012.4(1)</w:t>
      </w:r>
      <w:r>
        <w:rPr>
          <w:rFonts w:ascii="Times New Roman" w:hAnsi="Times New Roman"/>
          <w:b w:val="false"/>
          <w:i w:val="false"/>
          <w:color w:val="000000"/>
          <w:sz w:val="22"/>
        </w:rPr>
        <w:t> </w:t>
      </w:r>
      <w:r>
        <w:rPr>
          <w:rFonts w:ascii="Times New Roman" w:hAnsi="Times New Roman"/>
          <w:b w:val="false"/>
          <w:i/>
          <w:color w:val="000000"/>
          <w:sz w:val="22"/>
        </w:rPr>
        <w:t xml:space="preserve">Duty to buyer or tenant. </w:t>
      </w:r>
      <w:r>
        <w:rPr>
          <w:rFonts w:ascii="Times New Roman" w:hAnsi="Times New Roman"/>
          <w:b w:val="false"/>
          <w:i w:val="false"/>
          <w:color w:val="000000"/>
          <w:sz w:val="22"/>
        </w:rPr>
        <w:t xml:space="preserve">A licensee representing a buyer or tenant as an exclusive buyer’s or an exclusive tenant’s agent have the same duties and obligations as mentioned in subrule </w:t>
      </w:r>
      <w:hyperlink r:id="rId4">
        <w:r>
          <w:rPr>
            <w:rStyle w:val="Hyperlink"/>
            <w:rFonts w:ascii="Times New Roman" w:hAnsi="Times New Roman"/>
            <w:b w:val="false"/>
            <w:i w:val="false"/>
            <w:color w:val="000000"/>
            <w:sz w:val="22"/>
          </w:rPr>
          <w:t>2012.3(1)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any written agreement made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client with the utmost good faith, loyalty, and fidelity,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property at a price and terms which are acceptable to the buyer or tenant, except that the licensee is not obligated to seek other properties while the client is a party to a contract to purchase property, or to a lease or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client in a timely manner regardless of whether the client is already a party to a contract to purchase property or is already a party to a contract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buyer or tenant material adverse facts concerning the property and the transaction that are actually known by the licensee, pursuant to Iowa Code section </w:t>
      </w:r>
      <w:hyperlink r:id="rId5">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buyer or tenant to obtain expert advice on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buyer’s or tenant’s confidential information as defined in rule </w:t>
      </w:r>
      <w:hyperlink r:id="rId6">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buyer or the tenant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party’s buying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buyer’s or tenant’s financial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and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2012.4(2)</w:t>
      </w:r>
      <w:r>
        <w:rPr>
          <w:rFonts w:ascii="Times New Roman" w:hAnsi="Times New Roman"/>
          <w:b w:val="false"/>
          <w:i w:val="false"/>
          <w:color w:val="000000"/>
          <w:sz w:val="22"/>
        </w:rPr>
        <w:t> </w:t>
      </w:r>
      <w:r>
        <w:rPr>
          <w:rFonts w:ascii="Times New Roman" w:hAnsi="Times New Roman"/>
          <w:b w:val="false"/>
          <w:i/>
          <w:color w:val="000000"/>
          <w:sz w:val="22"/>
        </w:rPr>
        <w:t xml:space="preserve">Duty to a seller or landlord. </w:t>
      </w:r>
      <w:r>
        <w:rPr>
          <w:rFonts w:ascii="Times New Roman" w:hAnsi="Times New Roman"/>
          <w:b w:val="false"/>
          <w:i w:val="false"/>
          <w:color w:val="000000"/>
          <w:sz w:val="22"/>
        </w:rPr>
        <w:t xml:space="preserve">A licensee acting as an exclusive buyer’s or an exclusive tenant’s agent discloses to any customer all material adverse facts actually known by the licensee, pursuant to Iowa Code section </w:t>
      </w:r>
      <w:hyperlink r:id="rId8">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investigation of the buyer’s or tenant’s financial condition for the benefit of the seller or landlord and owes no duty to verify the accuracy or completeness of any statement made by the buyer or tenant or any independent source,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obligation of a seller or landlord from the responsibility of protecting the seller’s or landlord’s own interest by means of, but not limited to, verifying information concerning or provided by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buyer or tenant in a real estate transaction may provide assistance to an unrepresented seller or landlord by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2012.4(3)</w:t>
      </w:r>
      <w:r>
        <w:rPr>
          <w:rFonts w:ascii="Times New Roman" w:hAnsi="Times New Roman"/>
          <w:b w:val="false"/>
          <w:i w:val="false"/>
          <w:color w:val="000000"/>
          <w:sz w:val="22"/>
        </w:rPr>
        <w:t> </w:t>
      </w:r>
      <w:r>
        <w:rPr>
          <w:rFonts w:ascii="Times New Roman" w:hAnsi="Times New Roman"/>
          <w:b w:val="false"/>
          <w:i/>
          <w:color w:val="000000"/>
          <w:sz w:val="22"/>
        </w:rPr>
        <w:t xml:space="preserve">Competing buyers or tenants. </w:t>
      </w:r>
      <w:r>
        <w:rPr>
          <w:rFonts w:ascii="Times New Roman" w:hAnsi="Times New Roman"/>
          <w:b w:val="false"/>
          <w:i w:val="false"/>
          <w:color w:val="000000"/>
          <w:sz w:val="22"/>
        </w:rPr>
        <w:t>The licensee may show properties in which the buyer or tenant is interested to other buyers or tenants, may assist other competing buyers or tenants, and may enter into brokerage agreements with other competing buyers or tenants without breaching any duty or obligation to the buyer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2.3.pdf" Type="http://schemas.openxmlformats.org/officeDocument/2006/relationships/hyperlink" Id="rId4"/>
    <Relationship TargetMode="External" Target="https://www.legis.iowa.gov/docs/ico/chapter/543B.56.pdf" Type="http://schemas.openxmlformats.org/officeDocument/2006/relationships/hyperlink" Id="rId5"/>
    <Relationship TargetMode="External" Target="https://www.legis.iowa.gov/docs/iac/rule/481.2002.1.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543B.5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