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New construction.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contract with a builder to construct or attach personal property or other type of structure to land and thereby produce an improvement to real estate is a real estate transaction. A licensee makes written disclosure revealing that the licensee and the licensee’s broker or brokerage firm will receive a commission, compensation, or valuable consideration for its efforts in the transaction, as obligated by paragraph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2011.3(6)</w:t>
        </w:r>
        <w:r>
          <w:rPr>
            <w:rFonts w:ascii="Times New Roman" w:hAnsi="Times New Roman"/>
            <w:b w:val="false"/>
            <w:i/>
            <w:color w:val="000000"/>
            <w:sz w:val="22"/>
          </w:rPr>
          <w:t>“d.”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Written disclosure is necessary regardless of the type of representation provided by the licensee or if the licensee provides no representation.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1.3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