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481—2011.6</w:t>
      </w:r>
      <w:r>
        <w:rPr>
          <w:rFonts w:ascii="Times New Roman" w:hAnsi="Times New Roman"/>
          <w:b/>
          <w:i w:val="false"/>
          <w:color w:val="000000"/>
          <w:sz w:val="22"/>
        </w:rPr>
        <w:t xml:space="preserve">(543B) </w:t>
      </w:r>
      <w:r>
        <w:rPr>
          <w:rFonts w:ascii="Times New Roman" w:hAnsi="Times New Roman"/>
          <w:b/>
          <w:i w:val="false"/>
          <w:color w:val="000000"/>
          <w:sz w:val="22"/>
        </w:rPr>
        <w:t xml:space="preserve">Rebates and inducements.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2011.6(1)</w:t>
      </w:r>
      <w:r>
        <w:rPr>
          <w:rFonts w:ascii="Times New Roman" w:hAnsi="Times New Roman"/>
          <w:b w:val="false"/>
          <w:i w:val="false"/>
          <w:color w:val="000000"/>
          <w:sz w:val="22"/>
        </w:rPr>
        <w:t> </w:t>
      </w:r>
      <w:r>
        <w:rPr>
          <w:rFonts w:ascii="Times New Roman" w:hAnsi="Times New Roman"/>
          <w:b w:val="false"/>
          <w:i w:val="false"/>
          <w:color w:val="000000"/>
          <w:sz w:val="22"/>
        </w:rPr>
        <w:t>A licensee cannot pay compensation, any part of compensation, or valuable consideration to an unlicensed third party for performing brokerage functions or engaging in any activity that needs a real estate license. Referral fees or finder’s fees paid to unlicensed third parties for performing brokerage activities, or engaging in any activity that needs a real estate license, are barred.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2011.6(2)</w:t>
      </w:r>
      <w:r>
        <w:rPr>
          <w:rFonts w:ascii="Times New Roman" w:hAnsi="Times New Roman"/>
          <w:b w:val="false"/>
          <w:i w:val="false"/>
          <w:color w:val="000000"/>
          <w:sz w:val="22"/>
        </w:rPr>
        <w:t> </w:t>
      </w:r>
      <w:r>
        <w:rPr>
          <w:rFonts w:ascii="Times New Roman" w:hAnsi="Times New Roman"/>
          <w:b w:val="false"/>
          <w:i w:val="false"/>
          <w:color w:val="000000"/>
          <w:sz w:val="22"/>
        </w:rPr>
        <w:t>In a brokerage agreement, the broker is principal party to the contract. The broker may, with proper disclosure, pay a portion of the compensation earned to an unlicensed seller, landlord, buyer, or tenant that is a principal party to the brokerage agreement. This will be deemed a reduction in the amount of the earned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2011.6(3)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present a gratuitous gift, such as flowers or a door knocker, to the buyer or tenant subsequent to closing and not promised or offered as an inducement to buy or lease. The permission and disclosure criteria of rule </w:t>
      </w:r>
      <w:hyperlink r:id="rId4">
        <w:r>
          <w:rPr>
            <w:rStyle w:val="Hyperlink"/>
            <w:rFonts w:ascii="Times New Roman" w:hAnsi="Times New Roman"/>
            <w:b w:val="false"/>
            <w:i w:val="false"/>
            <w:color w:val="000000"/>
            <w:sz w:val="22"/>
          </w:rPr>
          <w:t>481—2011.3</w:t>
        </w:r>
      </w:hyperlink>
      <w:r>
        <w:rPr>
          <w:rFonts w:ascii="Times New Roman" w:hAnsi="Times New Roman"/>
          <w:b w:val="false"/>
          <w:i w:val="false"/>
          <w:color w:val="000000"/>
          <w:sz w:val="22"/>
        </w:rPr>
        <w:t>(543B) do not apply as long as any client relationship has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2011.6(4)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present free gifts, such as prizes, money, or other valuable consideration, to a potential party to a transaction or lease, prior to that party’s signing a contract to purchase or lease and not promised or offered as an inducement to buy or lease. It is the licensee’s responsibility to ensure that the promotion is in compliance with other Iowa laws, such as gaming regulations. The permission and disclosure criteria of rule </w:t>
      </w:r>
      <w:hyperlink r:id="rId5">
        <w:r>
          <w:rPr>
            <w:rStyle w:val="Hyperlink"/>
            <w:rFonts w:ascii="Times New Roman" w:hAnsi="Times New Roman"/>
            <w:b w:val="false"/>
            <w:i w:val="false"/>
            <w:color w:val="000000"/>
            <w:sz w:val="22"/>
          </w:rPr>
          <w:t>481—2011.3</w:t>
        </w:r>
      </w:hyperlink>
      <w:r>
        <w:rPr>
          <w:rFonts w:ascii="Times New Roman" w:hAnsi="Times New Roman"/>
          <w:b w:val="false"/>
          <w:i w:val="false"/>
          <w:color w:val="000000"/>
          <w:sz w:val="22"/>
        </w:rPr>
        <w:t>(543B) do not apply as long as no client relationship has been established with the buyer or lessee.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2011.6(5)</w:t>
      </w:r>
      <w:r>
        <w:rPr>
          <w:rFonts w:ascii="Times New Roman" w:hAnsi="Times New Roman"/>
          <w:b w:val="false"/>
          <w:i w:val="false"/>
          <w:color w:val="000000"/>
          <w:sz w:val="22"/>
        </w:rPr>
        <w:t> </w:t>
      </w:r>
      <w:r>
        <w:rPr>
          <w:rFonts w:ascii="Times New Roman" w:hAnsi="Times New Roman"/>
          <w:b w:val="false"/>
          <w:i w:val="false"/>
          <w:color w:val="000000"/>
          <w:sz w:val="22"/>
        </w:rPr>
        <w:t>The offering by a licensee of a free gift, prize, money, or other valuable consideration as an inducement is free from deception and does not serve to distort the true value of the real estate service being promoted.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2011.6(6)</w:t>
      </w:r>
      <w:r>
        <w:rPr>
          <w:rFonts w:ascii="Times New Roman" w:hAnsi="Times New Roman"/>
          <w:b w:val="false"/>
          <w:i w:val="false"/>
          <w:color w:val="000000"/>
          <w:sz w:val="22"/>
        </w:rPr>
        <w:t> </w:t>
      </w:r>
      <w:r>
        <w:rPr>
          <w:rFonts w:ascii="Times New Roman" w:hAnsi="Times New Roman"/>
          <w:b w:val="false"/>
          <w:i w:val="false"/>
          <w:color w:val="000000"/>
          <w:sz w:val="22"/>
        </w:rPr>
        <w:t>A licensee may make donations to a charity, or other not-for-profit organization, for each listing or closing, or both, that the licensee has during a specific time period. The receiving entity may be selected by the licensee or by a party to the transaction. The contribution may be in the name of the licensee or in the name of a party to the transaction. Contributions are permissible only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are no limitations placed on the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donation is for a specific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receiving entity does not act or participate in any manner that would need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licensee exercises reasonable care to ensure that the organization or fund is a bona fide nonprofit;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exercises reasonable care to ensure that the promotional materials clearly explain the terms under which the donation will be made;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necessary disclosures are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i w:val="false"/>
          <w:color w:val="000000"/>
          <w:sz w:val="16"/>
        </w:rPr>
        <w:t>ARC 9477C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2011.3.pdf" Type="http://schemas.openxmlformats.org/officeDocument/2006/relationships/hyperlink" Id="rId4"/>
    <Relationship TargetMode="External" Target="https://www.legis.iowa.gov/docs/iac/rule/481.2011.3.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