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481—2011.5</w:t>
      </w:r>
      <w:r>
        <w:rPr>
          <w:rFonts w:ascii="Times New Roman" w:hAnsi="Times New Roman"/>
          <w:b/>
          <w:i w:val="false"/>
          <w:color w:val="000000"/>
          <w:sz w:val="22"/>
        </w:rPr>
        <w:t xml:space="preserve">(543B) </w:t>
      </w:r>
      <w:r>
        <w:rPr>
          <w:rFonts w:ascii="Times New Roman" w:hAnsi="Times New Roman"/>
          <w:b/>
          <w:i w:val="false"/>
          <w:color w:val="000000"/>
          <w:sz w:val="22"/>
        </w:rPr>
        <w:t xml:space="preserve">Enforcing a protective clause. </w:t>
      </w:r>
      <w:r>
        <w:rPr>
          <w:rFonts w:ascii="Times New Roman" w:hAnsi="Times New Roman"/>
          <w:b w:val="false"/>
          <w:i w:val="false"/>
          <w:color w:val="000000"/>
          <w:sz w:val="22"/>
        </w:rPr>
        <w:t>To enforce a protective clause beyond the expiration of an exclusive brokerage agreement, there must be a provision for the protective clause in the brokerage agreement that establishes a definite protection period. In writing and prior to the expiration of the brokerage agreement, the broker furnishes to the party the names and available contact information of persons to whom the property was presented or a list of each property that was shown during the active term of the brokerage agreement and for whom protection is sought. Delivery is by personal or electronic service with written acknowledgment of receipt, or by regular mail or certified mail postmarked prior to the expiration of the brokerage agreement, return receipt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