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481—2010.2</w:t>
      </w:r>
      <w:r>
        <w:rPr>
          <w:rFonts w:ascii="Times New Roman" w:hAnsi="Times New Roman"/>
          <w:b/>
          <w:i w:val="false"/>
          <w:color w:val="000000"/>
          <w:sz w:val="22"/>
        </w:rPr>
        <w:t xml:space="preserve">(543B) </w:t>
      </w:r>
      <w:r>
        <w:rPr>
          <w:rFonts w:ascii="Times New Roman" w:hAnsi="Times New Roman"/>
          <w:b/>
          <w:i w:val="false"/>
          <w:color w:val="000000"/>
          <w:sz w:val="22"/>
        </w:rPr>
        <w:t xml:space="preserve">Advertising under own name. </w:t>
      </w:r>
      <w:r>
        <w:rPr>
          <w:rFonts w:ascii="Times New Roman" w:hAnsi="Times New Roman"/>
          <w:b w:val="false"/>
          <w:i w:val="false"/>
          <w:color w:val="000000"/>
          <w:sz w:val="22"/>
        </w:rPr>
        <w:t>Salespersons and broker associates are barred from advertising under their own names unless they are the owners of the property they are advertising for sale, rent, lease or exchange, and on which no brokerage fees are to be paid. The sale is completely a “for sale by owner” transaction. The property cannot be listed or advertised in any way that would make it appear to be listed with a brokerage. The affiliated licensee cannot function in any capacity that needs a real estate license, and the licensee is responsible for all advertising conducted on the licensee’s own behalf.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