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481—2010.1</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w:t>
      </w:r>
      <w:r>
        <w:rPr>
          <w:rFonts w:ascii="Times New Roman" w:hAnsi="Times New Roman"/>
          <w:b w:val="false"/>
          <w:i w:val="false"/>
          <w:color w:val="000000"/>
          <w:sz w:val="22"/>
        </w:rPr>
        <w:t>A broker cannot advertise to sell, buy, exchange, rent, or lease property in a manner indicating that the offer is being made by a private party not engaged in the real estate business, and no real estate advertisement can show only a post office box number, telephone number or street address. Every licensee, when advertising real estate, will use the licensed business name or the name under which the broker is licensed and affirmatively and unmistakably indicate that the party is a real estate licensee and not a private party. Each broker when operating under a franchise or trade name other than the broker’s own name may license the franchise or trade name with the commission or clearly reveal in all advertising that the broker is the licensed individual who owns the entity using the franchise or trade name. An individual licensee or real estate team that is not a principal broker or firm is not required to register a trade name. An individual licensee or real estate team shall conspicuously display the name of the brokerage immediately preceding or immediately following the individual licensee’s name or real estate team name in any advertising or information made available to the public. For purposes of this rule, “conspicuously display” shall mean advertisement that, when presented, a reasonable person would be able to identify or observe.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2010.1(1)</w:t>
      </w:r>
      <w:r>
        <w:rPr>
          <w:rFonts w:ascii="Times New Roman" w:hAnsi="Times New Roman"/>
          <w:b w:val="false"/>
          <w:i w:val="false"/>
          <w:color w:val="000000"/>
          <w:sz w:val="22"/>
        </w:rPr>
        <w:t> </w:t>
      </w:r>
      <w:r>
        <w:rPr>
          <w:rFonts w:ascii="Times New Roman" w:hAnsi="Times New Roman"/>
          <w:b w:val="false"/>
          <w:i w:val="false"/>
          <w:color w:val="000000"/>
          <w:sz w:val="22"/>
        </w:rPr>
        <w:t>Advertising includes all forms of identification, representation, promotion and solicitation disseminated in any manner and by any means of communication to the public for any purpose related to licensed real estate activity. Forms of advertising include, but are not limited to, real estate brokerage checks, letterhead, email, signs, websites, social media and business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2010.1(2)</w:t>
      </w:r>
      <w:r>
        <w:rPr>
          <w:rFonts w:ascii="Times New Roman" w:hAnsi="Times New Roman"/>
          <w:b w:val="false"/>
          <w:i w:val="false"/>
          <w:color w:val="000000"/>
          <w:sz w:val="22"/>
        </w:rPr>
        <w:t> </w:t>
      </w:r>
      <w:r>
        <w:rPr>
          <w:rFonts w:ascii="Times New Roman" w:hAnsi="Times New Roman"/>
          <w:b w:val="false"/>
          <w:i w:val="false"/>
          <w:color w:val="000000"/>
          <w:sz w:val="22"/>
        </w:rPr>
        <w:t>Real estate advertising cannot be misleading or deceptive or intentionally misrepresent any property, terms, values, or policies and services of the brokerage.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advertising is conducted under the supervision of the broker. The broker ensures the accuracy of the information and, upon becoming aware of a material error or an advertisement that is in violation of this chapter or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the broker promptly corrects the error or problem within ten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2010.1(4)</w:t>
      </w:r>
      <w:r>
        <w:rPr>
          <w:rFonts w:ascii="Times New Roman" w:hAnsi="Times New Roman"/>
          <w:b w:val="false"/>
          <w:i w:val="false"/>
          <w:color w:val="000000"/>
          <w:sz w:val="22"/>
        </w:rPr>
        <w:t> </w:t>
      </w:r>
      <w:r>
        <w:rPr>
          <w:rFonts w:ascii="Times New Roman" w:hAnsi="Times New Roman"/>
          <w:b w:val="false"/>
          <w:i w:val="false"/>
          <w:color w:val="000000"/>
          <w:sz w:val="22"/>
        </w:rPr>
        <w:t>A licensed firm advertising or marketing on a website or social media account that is either owned by or controlled by the licensed firm includes the following data on each page of the site on which the firm’s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Conspicuously display, in a font size that is readable to a reasonably prudent person, the firm or tradename as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firm’s main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firm holds a real estate brokerage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2010.1(5)</w:t>
      </w:r>
      <w:r>
        <w:rPr>
          <w:rFonts w:ascii="Times New Roman" w:hAnsi="Times New Roman"/>
          <w:b w:val="false"/>
          <w:i w:val="false"/>
          <w:color w:val="000000"/>
          <w:sz w:val="22"/>
        </w:rPr>
        <w:t> </w:t>
      </w:r>
      <w:r>
        <w:rPr>
          <w:rFonts w:ascii="Times New Roman" w:hAnsi="Times New Roman"/>
          <w:b w:val="false"/>
          <w:i w:val="false"/>
          <w:color w:val="000000"/>
          <w:sz w:val="22"/>
        </w:rPr>
        <w:t>A licensee advertising or marketing on a website or social media account that is either owned by or controlled by the licensee includes the following data on each page of the site on which the licensee’s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Conspicuously display the name of the firm or trade name with which the licensee is affiliated as that firm name is registered with the commission (abbreviations are not permitted) immediately preceding or immediately following the individual licensee’s name or real estate team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licensee’s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licensee holds a real estate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2010.1(6)</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using any Internet electronic communication for advertising or marketing, including but not limited to email, websites, and social media accounts, includes the information in </w:t>
      </w:r>
      <w:hyperlink r:id="rId5">
        <w:r>
          <w:rPr>
            <w:rStyle w:val="Hyperlink"/>
            <w:rFonts w:ascii="Times New Roman" w:hAnsi="Times New Roman"/>
            <w:b w:val="false"/>
            <w:i w:val="false"/>
            <w:color w:val="000000"/>
            <w:sz w:val="22"/>
          </w:rPr>
          <w:t>481—subrule 2010.1(4)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using any Internet electronic communication for advertising or marketing, including but not limited to email, websites, and social media accounts, includes on the first or last page of all communications the information in subrule </w:t>
      </w:r>
      <w:hyperlink r:id="rId6">
        <w:r>
          <w:rPr>
            <w:rStyle w:val="Hyperlink"/>
            <w:rFonts w:ascii="Times New Roman" w:hAnsi="Times New Roman"/>
            <w:b w:val="false"/>
            <w:i w:val="false"/>
            <w:color w:val="000000"/>
            <w:sz w:val="22"/>
          </w:rPr>
          <w:t>2010.1(5)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ac/rule/481.2010.1.pdf" Type="http://schemas.openxmlformats.org/officeDocument/2006/relationships/hyperlink" Id="rId5"/>
    <Relationship TargetMode="External" Target="https://www.legis.iowa.gov/docs/iac/rule/481.2010.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