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481—2008.3</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corporation, partnership, or association brokerage firm.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2008.3(1)</w:t>
      </w:r>
      <w:r>
        <w:rPr>
          <w:rFonts w:ascii="Times New Roman" w:hAnsi="Times New Roman"/>
          <w:b w:val="false"/>
          <w:i w:val="false"/>
          <w:color w:val="000000"/>
          <w:sz w:val="22"/>
        </w:rPr>
        <w:t> </w:t>
      </w:r>
      <w:r>
        <w:rPr>
          <w:rFonts w:ascii="Times New Roman" w:hAnsi="Times New Roman"/>
          <w:b w:val="false"/>
          <w:i w:val="false"/>
          <w:color w:val="000000"/>
          <w:sz w:val="22"/>
        </w:rPr>
        <w:t>In the event of an involuntary closing of a brokerage firm as a result of the death or incapacity of one or more of the licensed broker officers, broker partners or broker associates of a real estate corporation, partnership or association in which the affairs of the broker, partnership, corporation or association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firm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executor of the broker’s estate, if an attorney, or the legal representative of the firm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4">
        <w:r>
          <w:rPr>
            <w:rStyle w:val="Hyperlink"/>
            <w:rFonts w:ascii="Times New Roman" w:hAnsi="Times New Roman"/>
            <w:b w:val="false"/>
            <w:i w:val="false"/>
            <w:color w:val="000000"/>
            <w:sz w:val="22"/>
          </w:rPr>
          <w:t>481—2008.1</w:t>
        </w:r>
      </w:hyperlink>
      <w:r>
        <w:rPr>
          <w:rFonts w:ascii="Times New Roman" w:hAnsi="Times New Roman"/>
          <w:b w:val="false"/>
          <w:i w:val="false"/>
          <w:color w:val="000000"/>
          <w:sz w:val="22"/>
        </w:rPr>
        <w:t>(543B) for voluntary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2008.3(2)</w:t>
      </w:r>
      <w:r>
        <w:rPr>
          <w:rFonts w:ascii="Times New Roman" w:hAnsi="Times New Roman"/>
          <w:b w:val="false"/>
          <w:i w:val="false"/>
          <w:color w:val="000000"/>
          <w:sz w:val="22"/>
        </w:rPr>
        <w:t> </w:t>
      </w:r>
      <w:r>
        <w:rPr>
          <w:rFonts w:ascii="Times New Roman" w:hAnsi="Times New Roman"/>
          <w:b w:val="false"/>
          <w:i w:val="false"/>
          <w:color w:val="000000"/>
          <w:sz w:val="22"/>
        </w:rPr>
        <w:t>In the event of the death or incapacity of a designated broker for a firm, the affairs of the firm may be carried on by naming a new designated broker. The commission is notified of the change within 72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08.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