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481—2007.8</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licensee interest, acting as a principal, and status as a licensee. </w:t>
      </w:r>
      <w:r>
        <w:rPr>
          <w:rFonts w:ascii="Times New Roman" w:hAnsi="Times New Roman"/>
          <w:b w:val="false"/>
          <w:i w:val="false"/>
          <w:color w:val="000000"/>
          <w:sz w:val="22"/>
        </w:rPr>
        <w:t xml:space="preserve">A licensee cannot act in a transaction on the licensee’s own behalf, on behalf of the licensee’s immediate family, or on behalf of the brokerage, or on behalf of an organization or business entity in which the licensee has an interest, unless the licensee provides written disclosure of that interest to all parties to the transaction in accordance with Iowa Code section </w:t>
      </w:r>
      <w:hyperlink r:id="rId4">
        <w:r>
          <w:rPr>
            <w:rStyle w:val="Hyperlink"/>
            <w:rFonts w:ascii="Times New Roman" w:hAnsi="Times New Roman"/>
            <w:b w:val="false"/>
            <w:i w:val="false"/>
            <w:color w:val="000000"/>
            <w:sz w:val="22"/>
          </w:rPr>
          <w:t>543B.56(3)</w:t>
        </w:r>
      </w:hyperlink>
      <w:r>
        <w:rPr>
          <w:rFonts w:ascii="Times New Roman" w:hAnsi="Times New Roman"/>
          <w:b w:val="false"/>
          <w:i/>
          <w:color w:val="000000"/>
          <w:sz w:val="22"/>
        </w:rPr>
        <w:t>“b.”</w:t>
      </w:r>
      <w:r>
        <w:rPr>
          <w:rFonts w:ascii="Times New Roman" w:hAnsi="Times New Roman"/>
          <w:b w:val="false"/>
          <w:i w:val="false"/>
          <w:color w:val="000000"/>
          <w:sz w:val="22"/>
        </w:rPr>
        <w:t xml:space="preserve"> Disclosure obligated under this rule is made at the time of or prior to the licensee’s providing specific assistance to the party or parties to the transaction. Copies of the disclosure may be provided in person, electronically or by mail, as soon as reasonably practical. If no specific assistance is provided, disclosure is provided prior to the parties’ forming a legally binding contract, either prior to an offer made by the buyer or tenant or prior to an acceptance by the seller or landlord,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2007.8(1)</w:t>
      </w:r>
      <w:r>
        <w:rPr>
          <w:rFonts w:ascii="Times New Roman" w:hAnsi="Times New Roman"/>
          <w:b w:val="false"/>
          <w:i w:val="false"/>
          <w:color w:val="000000"/>
          <w:sz w:val="22"/>
        </w:rPr>
        <w:t> </w:t>
      </w:r>
      <w:r>
        <w:rPr>
          <w:rFonts w:ascii="Times New Roman" w:hAnsi="Times New Roman"/>
          <w:b w:val="false"/>
          <w:i/>
          <w:color w:val="000000"/>
          <w:sz w:val="22"/>
        </w:rPr>
        <w:t xml:space="preserve">Licensee acting as a principal. </w:t>
      </w:r>
      <w:r>
        <w:rPr>
          <w:rFonts w:ascii="Times New Roman" w:hAnsi="Times New Roman"/>
          <w:b w:val="false"/>
          <w:i w:val="false"/>
          <w:color w:val="000000"/>
          <w:sz w:val="22"/>
        </w:rPr>
        <w:t>A licensee cannot acquire any interest in any property, directly or indirectly, nor can the licensee sell any interest in which the licensee, directly or indirectly, has an interest without first making written disclosure of the licensee’s true position clear to the other party. Satisfactory proof of this disclosure is produced by the licensee upon request of the commission. Whenever a licensee is in doubt as to whether an interest, relationship, association, or affiliation obligates disclosure under this rule, the safest course of action is to make the written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2007.8(2)</w:t>
      </w:r>
      <w:r>
        <w:rPr>
          <w:rFonts w:ascii="Times New Roman" w:hAnsi="Times New Roman"/>
          <w:b w:val="false"/>
          <w:i w:val="false"/>
          <w:color w:val="000000"/>
          <w:sz w:val="22"/>
        </w:rPr>
        <w:t> </w:t>
      </w:r>
      <w:r>
        <w:rPr>
          <w:rFonts w:ascii="Times New Roman" w:hAnsi="Times New Roman"/>
          <w:b w:val="false"/>
          <w:i/>
          <w:color w:val="000000"/>
          <w:sz w:val="22"/>
        </w:rPr>
        <w:t xml:space="preserve">Status as a licensee. </w:t>
      </w:r>
      <w:r>
        <w:rPr>
          <w:rFonts w:ascii="Times New Roman" w:hAnsi="Times New Roman"/>
          <w:b w:val="false"/>
          <w:i w:val="false"/>
          <w:color w:val="000000"/>
          <w:sz w:val="22"/>
        </w:rPr>
        <w:t>Before buying, selling, or leasing real estate as described above, the licensee discloses in writing any ownership, or other interest, which the licensee has or will have and the licensee’s status to all parties to the transaction. An inactive status license does not exempt a licensee from providing the obligated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2007.8(3)</w:t>
      </w:r>
      <w:r>
        <w:rPr>
          <w:rFonts w:ascii="Times New Roman" w:hAnsi="Times New Roman"/>
          <w:b w:val="false"/>
          <w:i w:val="false"/>
          <w:color w:val="000000"/>
          <w:sz w:val="22"/>
        </w:rPr>
        <w:t> </w:t>
      </w:r>
      <w:r>
        <w:rPr>
          <w:rFonts w:ascii="Times New Roman" w:hAnsi="Times New Roman"/>
          <w:b w:val="false"/>
          <w:i/>
          <w:color w:val="000000"/>
          <w:sz w:val="22"/>
        </w:rPr>
        <w:t xml:space="preserve">Dual capacity. </w:t>
      </w:r>
      <w:r>
        <w:rPr>
          <w:rFonts w:ascii="Times New Roman" w:hAnsi="Times New Roman"/>
          <w:b w:val="false"/>
          <w:i w:val="false"/>
          <w:color w:val="000000"/>
          <w:sz w:val="22"/>
        </w:rPr>
        <w:t>The licensee does not act in a dual capacity of agent and undisclosed principal in any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