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481—2007.6</w:t>
      </w:r>
      <w:r>
        <w:rPr>
          <w:rFonts w:ascii="Times New Roman" w:hAnsi="Times New Roman"/>
          <w:b/>
          <w:i w:val="false"/>
          <w:color w:val="000000"/>
          <w:sz w:val="22"/>
        </w:rPr>
        <w:t xml:space="preserve">(543B) </w:t>
      </w:r>
      <w:r>
        <w:rPr>
          <w:rFonts w:ascii="Times New Roman" w:hAnsi="Times New Roman"/>
          <w:b/>
          <w:i w:val="false"/>
          <w:color w:val="000000"/>
          <w:sz w:val="22"/>
        </w:rPr>
        <w:t xml:space="preserve">Lotteries barred. </w:t>
      </w:r>
      <w:r>
        <w:rPr>
          <w:rFonts w:ascii="Times New Roman" w:hAnsi="Times New Roman"/>
          <w:b w:val="false"/>
          <w:i w:val="false"/>
          <w:color w:val="000000"/>
          <w:sz w:val="22"/>
        </w:rPr>
        <w:t>Licensees cannot engage in lotteries and schemes of sales involving selling of certificates, chances or other devices, whereby the purchaser is to receive property to be selected in an order to be determined by chance or by some means other than the order of prior sale, or whereby property more or less valuable will be secured according to chance or the amount of sales made, or whereby the price will depend upon chance or the amount of sales made, or whereby the buyer or tenant will not receive, rent, or lease any property. Such activities are declared to be methods by reason of which the public interests are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