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481—2007.3</w:t>
      </w:r>
      <w:r>
        <w:rPr>
          <w:rFonts w:ascii="Times New Roman" w:hAnsi="Times New Roman"/>
          <w:b/>
          <w:i w:val="false"/>
          <w:color w:val="000000"/>
          <w:sz w:val="22"/>
        </w:rPr>
        <w:t xml:space="preserve">(543B) </w:t>
      </w:r>
      <w:r>
        <w:rPr>
          <w:rFonts w:ascii="Times New Roman" w:hAnsi="Times New Roman"/>
          <w:b/>
          <w:i w:val="false"/>
          <w:color w:val="000000"/>
          <w:sz w:val="22"/>
        </w:rPr>
        <w:t xml:space="preserve">Suspended and revoked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2007.3(1)</w:t>
      </w:r>
      <w:r>
        <w:rPr>
          <w:rFonts w:ascii="Times New Roman" w:hAnsi="Times New Roman"/>
          <w:b w:val="false"/>
          <w:i w:val="false"/>
          <w:color w:val="000000"/>
          <w:sz w:val="22"/>
        </w:rPr>
        <w:t> </w:t>
      </w:r>
      <w:r>
        <w:rPr>
          <w:rFonts w:ascii="Times New Roman" w:hAnsi="Times New Roman"/>
          <w:b w:val="false"/>
          <w:i w:val="false"/>
          <w:color w:val="000000"/>
          <w:sz w:val="22"/>
        </w:rPr>
        <w:t xml:space="preserve">As of the effective date of a suspended or revoked license, the licensee cannot engage in any activity that needs a real estate license as defined in Iowa Code chapter </w:t>
      </w:r>
      <w:hyperlink r:id="rId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2007.3(2)</w:t>
      </w:r>
      <w:r>
        <w:rPr>
          <w:rFonts w:ascii="Times New Roman" w:hAnsi="Times New Roman"/>
          <w:b w:val="false"/>
          <w:i w:val="false"/>
          <w:color w:val="000000"/>
          <w:sz w:val="22"/>
        </w:rPr>
        <w:t> </w:t>
      </w:r>
      <w:r>
        <w:rPr>
          <w:rFonts w:ascii="Times New Roman" w:hAnsi="Times New Roman"/>
          <w:b w:val="false"/>
          <w:i w:val="false"/>
          <w:color w:val="000000"/>
          <w:sz w:val="22"/>
        </w:rPr>
        <w:t>When a sole-proprietor broker, corporation or partnership license is suspended or revoked, all licensees associated with or assigned to that sole-proprietor broker, corporation or partnership are automatically placed on inactive status for the duration of the suspension or revocation, unless transferred to another sole-proprietor broker, corporation or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suspension or revocation is determined, the commission also determines whether the corporation or partnership license is automatically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broker whose license is suspended or revoked is the only licensed broker officer of a corporation, the corporation license will automatically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2007.3(3)</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is suspended or revoked may receive compensation during the period of suspension or revocation only for those acts performed and for which compensation was earned when the person was actively licensed prior to the effective date of the suspension or revocation.</w:t>
      </w:r>
    </w:p>
    <w:p>
      <w:pPr>
        <w:spacing w:before="0" w:after="0"/>
        <w:ind w:left="120"/>
        <w:jc w:val="both"/>
      </w:pPr>
      <w:r>
        <w:rPr>
          <w:rFonts w:ascii="Times New Roman" w:hAnsi="Times New Roman"/>
          <w:b w:val="false"/>
          <w:i w:val="false"/>
          <w:color w:val="000000"/>
          <w:sz w:val="22"/>
        </w:rPr>
        <w:t>This rule does not determine if a licensee is entitled to compensation; such entitlement would depend upon the licensee’s written employment or association agreement with the former affiliated broker and is a matter of contract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2007.3(4)</w:t>
      </w:r>
      <w:r>
        <w:rPr>
          <w:rFonts w:ascii="Times New Roman" w:hAnsi="Times New Roman"/>
          <w:b w:val="false"/>
          <w:i w:val="false"/>
          <w:color w:val="000000"/>
          <w:sz w:val="22"/>
        </w:rPr>
        <w:t> </w:t>
      </w:r>
      <w:r>
        <w:rPr>
          <w:rFonts w:ascii="Times New Roman" w:hAnsi="Times New Roman"/>
          <w:b w:val="false"/>
          <w:i w:val="false"/>
          <w:color w:val="000000"/>
          <w:sz w:val="22"/>
        </w:rPr>
        <w:t>All brokerage and property management agreements are canceled by the broker whose license is suspended or revoked upon receipt of the order of revocation or suspension and prior to 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seller or landlord, or buyer or tenant, are advised that the seller or landlord, or buyer or tenant, may enter into a brokerage agreement with another broker of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cannot sell or assign brokerage or management agreements to another broker without the written consent of the client, and any sale or assignment of brokerage or management agreements are completed prior to 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2007.3(5)</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cannot finalize any pending closings. This responsibility is given to another broker, an attorney, a financial institution, or an escrow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Transfer of this responsibility is done with the written approval of all parties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parties to the transaction are advised of the facts concerning the situation and are provided the name, address, and telephone number of the responsible entity where all trust and escrow moneys will be held, with the written approval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2007.3(6)</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is barred from advertising real estate in any manner as a broker. All advertising, including but not limited to signs, is removed or covered within ten calendar days after the effective date of the suspension or revocation.</w:t>
      </w:r>
    </w:p>
    <w:p>
      <w:pPr>
        <w:spacing w:before="0" w:after="0"/>
        <w:ind w:left="120"/>
        <w:jc w:val="both"/>
      </w:pPr>
      <w:r>
        <w:rPr>
          <w:rFonts w:ascii="Times New Roman" w:hAnsi="Times New Roman"/>
          <w:b w:val="false"/>
          <w:i w:val="false"/>
          <w:color w:val="000000"/>
          <w:sz w:val="22"/>
        </w:rPr>
        <w:t>The real estate brokerage telephone is not answered in any manner to indicate the broker is active in the real estate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