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2007.15(3)</w:t>
      </w:r>
      <w:r>
        <w:rPr>
          <w:rFonts w:ascii="Times New Roman" w:hAnsi="Times New Roman"/>
          <w:b w:val="false"/>
          <w:i w:val="false"/>
          <w:color w:val="000000"/>
          <w:sz w:val="22"/>
        </w:rPr>
        <w:t> </w:t>
      </w:r>
      <w:r>
        <w:rPr>
          <w:rFonts w:ascii="Times New Roman" w:hAnsi="Times New Roman"/>
          <w:b w:val="false"/>
          <w:i w:val="false"/>
          <w:color w:val="000000"/>
          <w:sz w:val="22"/>
        </w:rPr>
        <w:t>A client’s agent or representative cannot negotiate directly or indirectly with a seller or buyer, or landlord or tenant, if the agent knows, or acting in a reasonable manner should have known, that the seller or buyer, or landlord or tenant, has a written unexpired brokerage agreement for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client’s agent or representative to be present at any step in a real estate transaction, including but not limited to viewing a property, seeking information about a property, or negotiating directly or indirectly with an agent about a property listed by such agent, and an agent cannot refuse to show a property listed by that agent or otherwise deal with a represented client who requests that the  client’s agent or representative be present at any step in the real estate transaction,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agent or representative does not have the right to be present at any discussion of confidential matters or evaluation of the offer by the seller and the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seller provides written instructions to the listing agent to exclude a client’s agent or representative from being present when the offer is presented, it is not unlawful for the client’s agent or representative to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with this rule does not need or obligate a listing broker to split any compensation or to otherwise compensate a client’s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