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Compensation controversies. </w:t>
      </w:r>
      <w:r>
        <w:rPr>
          <w:rFonts w:ascii="Times New Roman" w:hAnsi="Times New Roman"/>
          <w:b w:val="false"/>
          <w:i w:val="false"/>
          <w:color w:val="000000"/>
          <w:sz w:val="22"/>
        </w:rPr>
        <w:t>The commission will not and is not authorized by law to consider or conduct hearings involving disputes over fees or compensation between cooperating brokers, salespersons, and other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compensation directly to a broker associate or salesperson who is presently assigned to another broker or firm, or whose license is inactive, expired, suspended or revoked, only if the compensation was earned while the broker associate or salesperson was actively licensed and assigned to the former broker. Whether or not compensation was earned while the broker associate or salesperson was licensed with the former broker depends upon the licensee’s written agreement with the former broker. The commission will not determine whether compensation is earned or whether compensation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compensation to the new employing or affiliated broker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compensation or a fee to or receive compensation or a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