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481—2007.10</w:t>
      </w:r>
      <w:r>
        <w:rPr>
          <w:rFonts w:ascii="Times New Roman" w:hAnsi="Times New Roman"/>
          <w:b/>
          <w:i w:val="false"/>
          <w:color w:val="000000"/>
          <w:sz w:val="22"/>
        </w:rPr>
        <w:t xml:space="preserve">(543B) </w:t>
      </w:r>
      <w:r>
        <w:rPr>
          <w:rFonts w:ascii="Times New Roman" w:hAnsi="Times New Roman"/>
          <w:b/>
          <w:i w:val="false"/>
          <w:color w:val="000000"/>
          <w:sz w:val="22"/>
        </w:rPr>
        <w:t xml:space="preserve">Agency-designated broker responsibilities. </w:t>
      </w:r>
      <w:r>
        <w:rPr>
          <w:rFonts w:ascii="Times New Roman" w:hAnsi="Times New Roman"/>
          <w:b w:val="false"/>
          <w:i w:val="false"/>
          <w:color w:val="000000"/>
          <w:sz w:val="22"/>
        </w:rPr>
        <w:t xml:space="preserve">The following conditions and circumstances, together with the education and experience of licensed and unlicensed employees and independent contractors, is considered when determining whether or not the designated broker has met the supervisory responsibilities as set forth by Iowa Code section </w:t>
      </w:r>
      <w:hyperlink r:id="rId4">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2007.10(1)</w:t>
      </w:r>
      <w:r>
        <w:rPr>
          <w:rFonts w:ascii="Times New Roman" w:hAnsi="Times New Roman"/>
          <w:b w:val="false"/>
          <w:i w:val="false"/>
          <w:color w:val="000000"/>
          <w:sz w:val="22"/>
        </w:rPr>
        <w:t> </w:t>
      </w:r>
      <w:r>
        <w:rPr>
          <w:rFonts w:ascii="Times New Roman" w:hAnsi="Times New Roman"/>
          <w:b w:val="false"/>
          <w:i w:val="false"/>
          <w:color w:val="000000"/>
          <w:sz w:val="22"/>
        </w:rPr>
        <w:t>When making a determination, the commission may consider, but is not limited to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Availability of the designated broker/designee to assist and advise regarding brokerage-related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knowledge of brokerage-related staff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Availability of quality training programs and materials to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Supervisory policies and practices in the review of competitive market analysis, listing contracts, sales contracts and other contracts or information prepared for clients and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Frequency and content of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company policy manuals for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Ratio of supervisors to licensed employees and independent contractors;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Assignment of an experienced licensee to work with new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2007.10(2)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disseminates, in a timely manner, to licensed employees and independent contractors all regulatory information received by the brokerage pertaining to the practice of real estate brokerage.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6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