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481—2005.3</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 by examination. </w:t>
      </w:r>
      <w:r>
        <w:rPr>
          <w:rFonts w:ascii="Times New Roman" w:hAnsi="Times New Roman"/>
          <w:b w:val="false"/>
          <w:i w:val="false"/>
          <w:color w:val="000000"/>
          <w:sz w:val="22"/>
        </w:rPr>
        <w:t>A nonresident applicant licensed as a real estate salesperson or broker in a state or jurisdiction which does not have a reciprocal licensing agreement or memorandum with Iowa, or an applicant who does not qualify for reciprocal licensing, may be issued a comparable Iowa license by passing the real estate examination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2005.3(1)</w:t>
      </w:r>
      <w:r>
        <w:rPr>
          <w:rFonts w:ascii="Times New Roman" w:hAnsi="Times New Roman"/>
          <w:b w:val="false"/>
          <w:i w:val="false"/>
          <w:color w:val="000000"/>
          <w:sz w:val="22"/>
        </w:rPr>
        <w:t> </w:t>
      </w:r>
      <w:r>
        <w:rPr>
          <w:rFonts w:ascii="Times New Roman" w:hAnsi="Times New Roman"/>
          <w:b w:val="false"/>
          <w:i w:val="false"/>
          <w:color w:val="000000"/>
          <w:sz w:val="22"/>
        </w:rPr>
        <w:t xml:space="preserve">Broker. The person has been actively licensed as a broker or broker associate, the person meets all criteria for an Iowa broker’s license as provided in rule </w:t>
      </w:r>
      <w:hyperlink r:id="rId4">
        <w:r>
          <w:rPr>
            <w:rStyle w:val="Hyperlink"/>
            <w:rFonts w:ascii="Times New Roman" w:hAnsi="Times New Roman"/>
            <w:b w:val="false"/>
            <w:i w:val="false"/>
            <w:color w:val="000000"/>
            <w:sz w:val="22"/>
          </w:rPr>
          <w:t>481—2003.1</w:t>
        </w:r>
      </w:hyperlink>
      <w:r>
        <w:rPr>
          <w:rFonts w:ascii="Times New Roman" w:hAnsi="Times New Roman"/>
          <w:b w:val="false"/>
          <w:i w:val="false"/>
          <w:color w:val="000000"/>
          <w:sz w:val="22"/>
        </w:rPr>
        <w:t>(543B), and the license has not been inactive or expired for more than six months immediately preceding the date of passage of the national portion and Iowa portion of the broker real estate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2005.3(2)</w:t>
      </w:r>
      <w:r>
        <w:rPr>
          <w:rFonts w:ascii="Times New Roman" w:hAnsi="Times New Roman"/>
          <w:b w:val="false"/>
          <w:i w:val="false"/>
          <w:color w:val="000000"/>
          <w:sz w:val="22"/>
        </w:rPr>
        <w:t> </w:t>
      </w:r>
      <w:r>
        <w:rPr>
          <w:rFonts w:ascii="Times New Roman" w:hAnsi="Times New Roman"/>
          <w:b w:val="false"/>
          <w:i w:val="false"/>
          <w:color w:val="000000"/>
          <w:sz w:val="22"/>
        </w:rPr>
        <w:t>Salesperson. The person has been actively licensed as a salesperson and the license has not been inactive or expired for more than six months immediately preceding the date of passage of the Iowa portion of the salesperson real estate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2005.3(3)</w:t>
      </w:r>
      <w:r>
        <w:rPr>
          <w:rFonts w:ascii="Times New Roman" w:hAnsi="Times New Roman"/>
          <w:b w:val="false"/>
          <w:i w:val="false"/>
          <w:color w:val="000000"/>
          <w:sz w:val="22"/>
        </w:rPr>
        <w:t> </w:t>
      </w:r>
      <w:r>
        <w:rPr>
          <w:rFonts w:ascii="Times New Roman" w:hAnsi="Times New Roman"/>
          <w:b w:val="false"/>
          <w:i w:val="false"/>
          <w:color w:val="000000"/>
          <w:sz w:val="22"/>
        </w:rPr>
        <w:t>The applicant submits a written request for authorization to sit for the appropriate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2005.3(4)</w:t>
      </w:r>
      <w:r>
        <w:rPr>
          <w:rFonts w:ascii="Times New Roman" w:hAnsi="Times New Roman"/>
          <w:b w:val="false"/>
          <w:i w:val="false"/>
          <w:color w:val="000000"/>
          <w:sz w:val="22"/>
        </w:rPr>
        <w:t> </w:t>
      </w:r>
      <w:r>
        <w:rPr>
          <w:rFonts w:ascii="Times New Roman" w:hAnsi="Times New Roman"/>
          <w:b w:val="false"/>
          <w:i w:val="false"/>
          <w:color w:val="000000"/>
          <w:sz w:val="22"/>
        </w:rPr>
        <w:t>The applicant submits certification of the applicant’s current qualifying license from the licensing authority that issued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2003.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