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481—2005.10</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discipline reporting. </w:t>
      </w:r>
      <w:r>
        <w:rPr>
          <w:rFonts w:ascii="Times New Roman" w:hAnsi="Times New Roman"/>
          <w:b w:val="false"/>
          <w:i w:val="false"/>
          <w:color w:val="000000"/>
          <w:sz w:val="22"/>
        </w:rPr>
        <w:t xml:space="preserve">If an Iowa licensee has a real estate license disciplined, suspended or revoked by any other state or jurisdiction, that disciplinary action will be considered prima facie evidence of violation of Iowa Code section </w:t>
      </w:r>
      <w:hyperlink r:id="rId4">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or 543B.34 or both, and a hearing may be held to determine whether similar disciplinary action should be taken against the Iowa licensee. Failure to notify the commission within 15 days of an adverse action taken by another state or jurisdiction is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2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