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Renewing a license. </w:t>
      </w:r>
      <w:r>
        <w:rPr>
          <w:rFonts w:ascii="Times New Roman" w:hAnsi="Times New Roman"/>
          <w:b w:val="false"/>
          <w:i w:val="false"/>
          <w:color w:val="000000"/>
          <w:sz w:val="22"/>
        </w:rPr>
        <w:t>To remain authorized to act as a real estate salesperson, a salesperson must renew a real estate license before the expiration date of the license. Salespersons who fail to renew a real estate license before expiration are not authorized to practice as real estate salespersons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salesperson license may be found on the commission’s website. Salespersons will renew electronically. While the commission generally mails reminders to salespersons in the November preceding license expiration, the failure of the commission to mail a reminder does not excuse the salesperson from the requirement to timely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shall grant an application to renew a salesperson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4">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required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fails to reveal grounds to deny a license, such as a criminal conviction or the revocation of a license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or postmarked, after midnight January 30 shall be treated as applications to reinstate an expired license under rule </w:t>
      </w:r>
      <w:hyperlink r:id="rId5">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salesperson license which are incomplete or which are not accompanied by the proper fee may be returned to the salesperson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proper fee, shall be renewed in inactive status. In the event of a factual dispute regarding the salesperson’s intent to renew in inactive status or a salesperson’s compliance with continuing education requirements, the commission may deny the application and provide the applicant with an opportunity for hearing according to the procedures set forth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481—2018.13</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to renew shall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must be timely renewed or it shall expire.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28.pdf" Type="http://schemas.openxmlformats.org/officeDocument/2006/relationships/hyperlink" Id="rId4"/>
    <Relationship TargetMode="External" Target="https://www.legis.iowa.gov/docs/iac/rule/481.2004.6.pdf" Type="http://schemas.openxmlformats.org/officeDocument/2006/relationships/hyperlink" Id="rId5"/>
    <Relationship TargetMode="External" Target="https://www.legis.iowa.gov/docs/iac/chapter/481.506.pdf" Type="http://schemas.openxmlformats.org/officeDocument/2006/relationships/hyperlink" Id="rId6"/>
    <Relationship TargetMode="External" Target="https://www.legis.iowa.gov/docs/iac/rule/481.2018.13.pdf" Type="http://schemas.openxmlformats.org/officeDocument/2006/relationships/hyperlink" Id="rId7"/>
    <Relationship TargetMode="External" Target="https://www.legis.iowa.gov/docs/ico/chapter/543B.pdf" Type="http://schemas.openxmlformats.org/officeDocument/2006/relationships/hyperlink" Id="rId8"/>
    <Relationship TargetMode="External" Target="https://www.legis.iowa.gov/docs/iac/chapter/481.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