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481—2004.3</w:t>
      </w:r>
      <w:r>
        <w:rPr>
          <w:rFonts w:ascii="Times New Roman" w:hAnsi="Times New Roman"/>
          <w:b/>
          <w:i w:val="false"/>
          <w:color w:val="000000"/>
          <w:sz w:val="22"/>
        </w:rPr>
        <w:t xml:space="preserve">(543B) </w:t>
      </w:r>
      <w:r>
        <w:rPr>
          <w:rFonts w:ascii="Times New Roman" w:hAnsi="Times New Roman"/>
          <w:b/>
          <w:i w:val="false"/>
          <w:color w:val="000000"/>
          <w:sz w:val="22"/>
        </w:rPr>
        <w:t xml:space="preserve">Application for salesperson license. </w:t>
      </w:r>
      <w:r>
        <w:rPr>
          <w:rFonts w:ascii="Times New Roman" w:hAnsi="Times New Roman"/>
          <w:b w:val="false"/>
          <w:i w:val="false"/>
          <w:color w:val="000000"/>
          <w:sz w:val="22"/>
        </w:rPr>
        <w:t xml:space="preserve">An applicant who passes a qualifying examination and applies for a license must file with the commission a completed application with license fee, proof of required education, and test score report not later than the last working day of the sixth calendar month following the qualifying real estate examination. As required by Iowa Code section </w:t>
      </w:r>
      <w:hyperlink r:id="rId4">
        <w:r>
          <w:rPr>
            <w:rStyle w:val="Hyperlink"/>
            <w:rFonts w:ascii="Times New Roman" w:hAnsi="Times New Roman"/>
            <w:b w:val="false"/>
            <w:i w:val="false"/>
            <w:color w:val="000000"/>
            <w:sz w:val="22"/>
          </w:rPr>
          <w:t>543B.15(9)</w:t>
        </w:r>
      </w:hyperlink>
      <w:r>
        <w:rPr>
          <w:rFonts w:ascii="Times New Roman" w:hAnsi="Times New Roman"/>
          <w:b w:val="false"/>
          <w:i w:val="false"/>
          <w:color w:val="000000"/>
          <w:sz w:val="22"/>
        </w:rPr>
        <w:t>, the completed application must be received within 210 calendar days of the completion of the criminal history check.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2004.3(1)</w:t>
      </w:r>
      <w:r>
        <w:rPr>
          <w:rFonts w:ascii="Times New Roman" w:hAnsi="Times New Roman"/>
          <w:b w:val="false"/>
          <w:i w:val="false"/>
          <w:color w:val="000000"/>
          <w:sz w:val="22"/>
        </w:rPr>
        <w:t> </w:t>
      </w:r>
      <w:r>
        <w:rPr>
          <w:rFonts w:ascii="Times New Roman" w:hAnsi="Times New Roman"/>
          <w:b w:val="false"/>
          <w:i/>
          <w:color w:val="000000"/>
          <w:sz w:val="22"/>
        </w:rPr>
        <w:t xml:space="preserve">Application contents. </w:t>
      </w:r>
      <w:r>
        <w:rPr>
          <w:rFonts w:ascii="Times New Roman" w:hAnsi="Times New Roman"/>
          <w:b w:val="false"/>
          <w:i w:val="false"/>
          <w:color w:val="000000"/>
          <w:sz w:val="22"/>
        </w:rPr>
        <w:t>The application includes detailed personal, financial, and business information concerning the applicant, and the applicant for licensure attests to its accuracy.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2004.3(2)</w:t>
      </w:r>
      <w:r>
        <w:rPr>
          <w:rFonts w:ascii="Times New Roman" w:hAnsi="Times New Roman"/>
          <w:b w:val="false"/>
          <w:i w:val="false"/>
          <w:color w:val="000000"/>
          <w:sz w:val="22"/>
        </w:rPr>
        <w:t> </w:t>
      </w:r>
      <w:r>
        <w:rPr>
          <w:rFonts w:ascii="Times New Roman" w:hAnsi="Times New Roman"/>
          <w:b w:val="false"/>
          <w:i/>
          <w:color w:val="000000"/>
          <w:sz w:val="22"/>
        </w:rPr>
        <w:t xml:space="preserve">License terms. </w:t>
      </w:r>
      <w:r>
        <w:rPr>
          <w:rFonts w:ascii="Times New Roman" w:hAnsi="Times New Roman"/>
          <w:b w:val="false"/>
          <w:i w:val="false"/>
          <w:color w:val="000000"/>
          <w:sz w:val="22"/>
        </w:rPr>
        <w:t>A salesperson license is issued for a three-year term, counting the remaining portion of the year issued as a full year. Licenses expire on December 31 of the third year of the license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2004.3(3)</w:t>
      </w:r>
      <w:r>
        <w:rPr>
          <w:rFonts w:ascii="Times New Roman" w:hAnsi="Times New Roman"/>
          <w:b w:val="false"/>
          <w:i w:val="false"/>
          <w:color w:val="000000"/>
          <w:sz w:val="22"/>
        </w:rPr>
        <w:t> </w:t>
      </w:r>
      <w:r>
        <w:rPr>
          <w:rFonts w:ascii="Times New Roman" w:hAnsi="Times New Roman"/>
          <w:b w:val="false"/>
          <w:i/>
          <w:color w:val="000000"/>
          <w:sz w:val="22"/>
        </w:rPr>
        <w:t xml:space="preserve">Denial of application. </w:t>
      </w:r>
      <w:r>
        <w:rPr>
          <w:rFonts w:ascii="Times New Roman" w:hAnsi="Times New Roman"/>
          <w:b w:val="false"/>
          <w:i w:val="false"/>
          <w:color w:val="000000"/>
          <w:sz w:val="22"/>
        </w:rPr>
        <w:t xml:space="preserve">An application may be denied on the grounds provided in Iowa Code chapter </w:t>
      </w:r>
      <w:hyperlink r:id="rId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in </w:t>
      </w:r>
      <w:hyperlink r:id="rId6">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The administrative processing of an application does not prevent the later initiation of a contested case to challenge a licensee’s qualifications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B.15.pdf" Type="http://schemas.openxmlformats.org/officeDocument/2006/relationships/hyperlink" Id="rId4"/>
    <Relationship TargetMode="External" Target="https://www.legis.iowa.gov/docs/ico/chapter/543B.pdf" Type="http://schemas.openxmlformats.org/officeDocument/2006/relationships/hyperlink" Id="rId5"/>
    <Relationship TargetMode="External" Target="https://www.legis.iowa.gov/docs/iac/chapter/481.506.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