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481—2004.1</w:t>
      </w:r>
      <w:r>
        <w:rPr>
          <w:rFonts w:ascii="Times New Roman" w:hAnsi="Times New Roman"/>
          <w:b/>
          <w:i w:val="false"/>
          <w:color w:val="000000"/>
          <w:sz w:val="22"/>
        </w:rPr>
        <w:t xml:space="preserve">(543B) </w:t>
      </w:r>
      <w:r>
        <w:rPr>
          <w:rFonts w:ascii="Times New Roman" w:hAnsi="Times New Roman"/>
          <w:b/>
          <w:i w:val="false"/>
          <w:color w:val="000000"/>
          <w:sz w:val="22"/>
        </w:rPr>
        <w:t xml:space="preserve">General criteria for salesperson license. </w:t>
      </w:r>
      <w:r>
        <w:rPr>
          <w:rFonts w:ascii="Times New Roman" w:hAnsi="Times New Roman"/>
          <w:b w:val="false"/>
          <w:i w:val="false"/>
          <w:color w:val="000000"/>
          <w:sz w:val="22"/>
        </w:rPr>
        <w:t xml:space="preserve">A person who is licensed under and employed by or otherwise associated with a real estate broker or firm is a “salesperson” as defined in Iowa Code section </w:t>
      </w:r>
      <w:hyperlink r:id="rId4">
        <w:r>
          <w:rPr>
            <w:rStyle w:val="Hyperlink"/>
            <w:rFonts w:ascii="Times New Roman" w:hAnsi="Times New Roman"/>
            <w:b w:val="false"/>
            <w:i w:val="false"/>
            <w:color w:val="000000"/>
            <w:sz w:val="22"/>
          </w:rPr>
          <w:t>543B.5(20)</w:t>
        </w:r>
      </w:hyperlink>
      <w:r>
        <w:rPr>
          <w:rFonts w:ascii="Times New Roman" w:hAnsi="Times New Roman"/>
          <w:b w:val="false"/>
          <w:i w:val="false"/>
          <w:color w:val="000000"/>
          <w:sz w:val="22"/>
        </w:rPr>
        <w:t xml:space="preserve"> and rule </w:t>
      </w:r>
      <w:hyperlink r:id="rId5">
        <w:r>
          <w:rPr>
            <w:rStyle w:val="Hyperlink"/>
            <w:rFonts w:ascii="Times New Roman" w:hAnsi="Times New Roman"/>
            <w:b w:val="false"/>
            <w:i w:val="false"/>
            <w:color w:val="000000"/>
            <w:sz w:val="22"/>
          </w:rPr>
          <w:t>481—2002.1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2004.1(1)</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for a salesperson license cannot be issued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is transferred, as provided in rule </w:t>
      </w:r>
      <w:hyperlink r:id="rId6">
        <w:r>
          <w:rPr>
            <w:rStyle w:val="Hyperlink"/>
            <w:rFonts w:ascii="Times New Roman" w:hAnsi="Times New Roman"/>
            <w:b w:val="false"/>
            <w:i w:val="false"/>
            <w:color w:val="000000"/>
            <w:sz w:val="22"/>
          </w:rPr>
          <w:t>481—2006.2</w:t>
        </w:r>
      </w:hyperlink>
      <w:r>
        <w:rPr>
          <w:rFonts w:ascii="Times New Roman" w:hAnsi="Times New Roman"/>
          <w:b w:val="false"/>
          <w:i w:val="false"/>
          <w:color w:val="000000"/>
          <w:sz w:val="22"/>
        </w:rPr>
        <w:t>(543B), the salesperson may work immediately for the new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2004.1(3)</w:t>
      </w:r>
      <w:r>
        <w:rPr>
          <w:rFonts w:ascii="Times New Roman" w:hAnsi="Times New Roman"/>
          <w:b w:val="false"/>
          <w:i w:val="false"/>
          <w:color w:val="000000"/>
          <w:sz w:val="22"/>
        </w:rPr>
        <w:t> </w:t>
      </w:r>
      <w:r>
        <w:rPr>
          <w:rFonts w:ascii="Times New Roman" w:hAnsi="Times New Roman"/>
          <w:b w:val="false"/>
          <w:i w:val="false"/>
          <w:color w:val="000000"/>
          <w:sz w:val="22"/>
        </w:rPr>
        <w:t>A salesperson is assigned to a licensed broker or firm and cannot conduct business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7">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an applicant for a salesperson license must meet all qualifications under Iowa Code section </w:t>
      </w:r>
      <w:hyperlink r:id="rId8">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salesperson license who has been convicted of a disqualifying criminal offense in a court of competent jurisdiction in this state or in any other state, jurisdiction, territory, or district of the United States, or in any foreign jurisdiction, may be denied a license by the commission on the grounds of the conviction as provided by Iowa Code section </w:t>
      </w:r>
      <w:hyperlink r:id="rId9">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481—502.2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2004.1(6)</w:t>
      </w:r>
      <w:r>
        <w:rPr>
          <w:rFonts w:ascii="Times New Roman" w:hAnsi="Times New Roman"/>
          <w:b w:val="false"/>
          <w:i w:val="false"/>
          <w:color w:val="000000"/>
          <w:sz w:val="22"/>
        </w:rPr>
        <w:t> </w:t>
      </w:r>
      <w:r>
        <w:rPr>
          <w:rFonts w:ascii="Times New Roman" w:hAnsi="Times New Roman"/>
          <w:b w:val="false"/>
          <w:i w:val="false"/>
          <w:color w:val="000000"/>
          <w:sz w:val="22"/>
        </w:rPr>
        <w:t>An applicant for a real estate salesperson license who has had a professional license of any kind revoked in this or any other jurisdiction may be denied a license by the commission on the grounds of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2004.1(7)</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 prelicense education requirements. As required by Iowa Code section </w:t>
      </w:r>
      <w:hyperlink r:id="rId11">
        <w:r>
          <w:rPr>
            <w:rStyle w:val="Hyperlink"/>
            <w:rFonts w:ascii="Times New Roman" w:hAnsi="Times New Roman"/>
            <w:b w:val="false"/>
            <w:i w:val="false"/>
            <w:color w:val="000000"/>
            <w:sz w:val="22"/>
          </w:rPr>
          <w:t>543B.15(8)</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481—Chapter 2016</w:t>
        </w:r>
      </w:hyperlink>
      <w:r>
        <w:rPr>
          <w:rFonts w:ascii="Times New Roman" w:hAnsi="Times New Roman"/>
          <w:b w:val="false"/>
          <w:i w:val="false"/>
          <w:color w:val="000000"/>
          <w:sz w:val="22"/>
        </w:rPr>
        <w:t>, the required course of study for the salesperson licensing examination consists of 60 live instruction or online learning hours of real estate principles and practices. To be eligible to take the examination, the 60 live education or online learning hours of real estate principles and practices are completed during the 12 months prior to taking the examination. The applicant will also provide evidence of successful completion of the following courses: 12 hours of Developing Professionalism and Ethical Practices, 12 hours of Buying Practices and 12 hours of Listing Practices. The prelicense education will expire after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5.pdf" Type="http://schemas.openxmlformats.org/officeDocument/2006/relationships/hyperlink" Id="rId4"/>
    <Relationship TargetMode="External" Target="https://www.legis.iowa.gov/docs/iac/rule/481.2002.1.pdf" Type="http://schemas.openxmlformats.org/officeDocument/2006/relationships/hyperlink" Id="rId5"/>
    <Relationship TargetMode="External" Target="https://www.legis.iowa.gov/docs/iac/rule/481.2006.2.pdf" Type="http://schemas.openxmlformats.org/officeDocument/2006/relationships/hyperlink" Id="rId6"/>
    <Relationship TargetMode="External" Target="https://www.legis.iowa.gov/docs/ico/chapter/543B.21.pdf" Type="http://schemas.openxmlformats.org/officeDocument/2006/relationships/hyperlink" Id="rId7"/>
    <Relationship TargetMode="External" Target="https://www.legis.iowa.gov/docs/ico/chapter/543B.15.pdf" Type="http://schemas.openxmlformats.org/officeDocument/2006/relationships/hyperlink" Id="rId8"/>
    <Relationship TargetMode="External" Target="https://www.legis.iowa.gov/docs/ico/chapter/272C.15.pdf" Type="http://schemas.openxmlformats.org/officeDocument/2006/relationships/hyperlink" Id="rId9"/>
    <Relationship TargetMode="External" Target="https://www.legis.iowa.gov/docs/iac/rule/481.502.2.pdf" Type="http://schemas.openxmlformats.org/officeDocument/2006/relationships/hyperlink" Id="rId10"/>
    <Relationship TargetMode="External" Target="https://www.legis.iowa.gov/docs/ico/chapter/543B.15.pdf" Type="http://schemas.openxmlformats.org/officeDocument/2006/relationships/hyperlink" Id="rId11"/>
    <Relationship TargetMode="External" Target="https://www.legis.iowa.gov/docs/iac/chapter/481.2016.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