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481—2003.5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Renewing a broker license. </w:t>
      </w:r>
      <w:r>
        <w:rPr>
          <w:rFonts w:ascii="Times New Roman" w:hAnsi="Times New Roman"/>
          <w:b w:val="false"/>
          <w:i w:val="false"/>
          <w:color w:val="000000"/>
          <w:sz w:val="22"/>
        </w:rPr>
        <w:t>To remain authorized to act as a real estate broker, a broker renews a real estate license before the expiration date of the license. Brokers who fail to renew a real estate license before expiration are not authorized to practice as real estate brokers in Iowa. Termination of a broker’s authority to practice real estate in Iowa automatically terminates the authority of all salespersons employed by or assigned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broker’s license may be found on the commission’s website. Brokers renew electronically. While the commission generally mails reminders to brokers in the November preceding license expiration, the failure of the commission to mail a reminder does not excuse the broker from the requirement to renew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grants an application to renew a broker’s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4">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completed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include grounds to deny a license, such as the revocation of a license in another jurisdiction or a criminal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after midnight January 30 will be treated as applications to reinstate an expired license under rule </w:t>
      </w:r>
      <w:hyperlink r:id="rId5">
        <w:r>
          <w:rPr>
            <w:rStyle w:val="Hyperlink"/>
            <w:rFonts w:ascii="Times New Roman" w:hAnsi="Times New Roman"/>
            <w:b w:val="false"/>
            <w:i w:val="false"/>
            <w:color w:val="000000"/>
            <w:sz w:val="22"/>
          </w:rPr>
          <w:t>481—2003.6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broker’s license which are incomplete or which are not accompanied by the proper fee may be returned to the broker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the proper fee, are renewed in inactive status. In the event of a factual dispute regarding the broker’s intent to renew in inactive status or a broker’s completion of continuing education, the commission may deny the application and provide the applicant with an opportunity for hearing according to the procedures set forth in </w:t>
      </w:r>
      <w:hyperlink r:id="rId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to renew does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expires if not timely renewed.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28.pdf" Type="http://schemas.openxmlformats.org/officeDocument/2006/relationships/hyperlink" Id="rId4"/>
    <Relationship TargetMode="External" Target="https://www.legis.iowa.gov/docs/iac/rule/481.2003.6.pdf" Type="http://schemas.openxmlformats.org/officeDocument/2006/relationships/hyperlink" Id="rId5"/>
    <Relationship TargetMode="External" Target="https://www.legis.iowa.gov/docs/iac/chapter/481.506.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ac/chapter/481.50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