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481—2003.4</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2003.4(1)</w:t>
      </w:r>
      <w:r>
        <w:rPr>
          <w:rFonts w:ascii="Times New Roman" w:hAnsi="Times New Roman"/>
          <w:b w:val="false"/>
          <w:i w:val="false"/>
          <w:color w:val="000000"/>
          <w:sz w:val="22"/>
        </w:rPr>
        <w:t> </w:t>
      </w:r>
      <w:r>
        <w:rPr>
          <w:rFonts w:ascii="Times New Roman" w:hAnsi="Times New Roman"/>
          <w:b w:val="false"/>
          <w:i w:val="false"/>
          <w:color w:val="000000"/>
          <w:sz w:val="22"/>
        </w:rPr>
        <w:t>To renew a license in active status, each broker or broker associate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2003.4(2)</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Brokers and broker associates complete approved courses in the following subjects to renew to active status, except in accordance with </w:t>
      </w:r>
      <w:hyperlink r:id="rId4">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Law Update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Ethics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hours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Electives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2003.4(3)</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in inactive status without the completion of continuing education. Prior to reactivating a license that has been issued inactive due to the licensee’s failure to submit evidence of continuing education, the licensee submits an application to reactivate to active status with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20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