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481—2003.3</w:t>
      </w:r>
      <w:r>
        <w:rPr>
          <w:rFonts w:ascii="Times New Roman" w:hAnsi="Times New Roman"/>
          <w:b/>
          <w:i w:val="false"/>
          <w:color w:val="000000"/>
          <w:sz w:val="22"/>
        </w:rPr>
        <w:t xml:space="preserve">(543B) </w:t>
      </w:r>
      <w:r>
        <w:rPr>
          <w:rFonts w:ascii="Times New Roman" w:hAnsi="Times New Roman"/>
          <w:b/>
          <w:i w:val="false"/>
          <w:color w:val="000000"/>
          <w:sz w:val="22"/>
        </w:rPr>
        <w:t xml:space="preserve">Application for broker license. </w:t>
      </w:r>
      <w:r>
        <w:rPr>
          <w:rFonts w:ascii="Times New Roman" w:hAnsi="Times New Roman"/>
          <w:b w:val="false"/>
          <w:i w:val="false"/>
          <w:color w:val="000000"/>
          <w:sz w:val="22"/>
        </w:rPr>
        <w:t xml:space="preserve">An applicant who applies for a broker’s license will submit to the commission a completed application, license fee, proof of required education, and test score reports not later than the last working day of the sixth calendar month following the qualifying real estate examination. As required by Iowa Code section </w:t>
      </w:r>
      <w:hyperlink r:id="rId4">
        <w:r>
          <w:rPr>
            <w:rStyle w:val="Hyperlink"/>
            <w:rFonts w:ascii="Times New Roman" w:hAnsi="Times New Roman"/>
            <w:b w:val="false"/>
            <w:i w:val="false"/>
            <w:color w:val="000000"/>
            <w:sz w:val="22"/>
          </w:rPr>
          <w:t>543B.15(9)</w:t>
        </w:r>
      </w:hyperlink>
      <w:r>
        <w:rPr>
          <w:rFonts w:ascii="Times New Roman" w:hAnsi="Times New Roman"/>
          <w:b w:val="false"/>
          <w:i w:val="false"/>
          <w:color w:val="000000"/>
          <w:sz w:val="22"/>
        </w:rPr>
        <w:t>, the completed application must be received within 210 calendar days of the completion of the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The applicant for licensure attests to the accuracy of the detailed personal, financial, and business information concerning the applicant included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2003.3(2)</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Real estate broker, salesperson, trade name, branch office, and firm licenses are issued for a three-year term, counting the remaining portion of the year issued as a full year. Licenses expire on December 31 of the third year of the license term. Branch office licenses and trade name licenses are issued for the remaining portion of the license term of the license to which each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2003.3(3)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15.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ac/chapter/481.5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