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481—2002.1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“Additional license”</w:t>
      </w:r>
      <w:r>
        <w:rPr>
          <w:rFonts w:ascii="Times New Roman" w:hAnsi="Times New Roman"/>
          <w:b w:val="false"/>
          <w:i w:val="false"/>
          <w:color w:val="000000"/>
          <w:sz w:val="22"/>
        </w:rPr>
        <w:t> </w:t>
      </w:r>
      <w:r>
        <w:rPr>
          <w:rFonts w:ascii="Times New Roman" w:hAnsi="Times New Roman"/>
          <w:b w:val="false"/>
          <w:i w:val="false"/>
          <w:color w:val="000000"/>
          <w:sz w:val="22"/>
        </w:rPr>
        <w:t>means any officer or partner license(s) issued based upon and dependent or contingent upon the primary or main officer or partner license, but assigned to a different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fees”</w:t>
      </w:r>
      <w:r>
        <w:rPr>
          <w:rFonts w:ascii="Times New Roman" w:hAnsi="Times New Roman"/>
          <w:b w:val="false"/>
          <w:i w:val="false"/>
          <w:color w:val="000000"/>
          <w:sz w:val="22"/>
        </w:rPr>
        <w:t> </w:t>
      </w:r>
      <w:r>
        <w:rPr>
          <w:rFonts w:ascii="Times New Roman" w:hAnsi="Times New Roman"/>
          <w:b w:val="false"/>
          <w:i w:val="false"/>
          <w:color w:val="000000"/>
          <w:sz w:val="22"/>
        </w:rPr>
        <w:t>means any fees charged for services to be paid in advance of the rendering of such services including, without limitation, any fees charged for listing, advertising, or offering for sale or lease any real property, but excluding any fees paid solely for advertisement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“Affiliated 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broker associate or salesperson, as defined in Iowa Code section </w:t>
      </w:r>
      <w:hyperlink r:id="rId4">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 who is under the supervision of a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disclosure”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543B.5(2)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or intends to apply for a real estate salesperson or real estate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an original license as a real estate salesperson, real estate broker, real estate firm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“Branch office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“duplicate license” as used in Iowa Code section </w:t>
      </w:r>
      <w:hyperlink r:id="rId7">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broker license as defined in Iowa Code section </w:t>
      </w:r>
      <w:hyperlink r:id="rId8">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“Brokerage agreement”</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Iowa Code section 543B.5(7).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“Buyer”</w:t>
      </w:r>
      <w:r>
        <w:rPr>
          <w:rFonts w:ascii="Times New Roman" w:hAnsi="Times New Roman"/>
          <w:b w:val="false"/>
          <w:i w:val="false"/>
          <w:color w:val="000000"/>
          <w:sz w:val="22"/>
        </w:rPr>
        <w:t> </w:t>
      </w:r>
      <w:r>
        <w:rPr>
          <w:rFonts w:ascii="Times New Roman" w:hAnsi="Times New Roman"/>
          <w:b w:val="false"/>
          <w:i w:val="false"/>
          <w:color w:val="000000"/>
          <w:sz w:val="22"/>
        </w:rPr>
        <w:t>includes a purchaser, tenant, vendee, lessee, party to an exchange, or grantee of an option. Selected rules in these chapters will at times refer separately to “buyers” and “tenants”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means property that is used exclusively for business purposes or to generate income and not intended for human inhabitants or property of more than four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source information companies”</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limited liability company, business trust, estate, trust, partnership, association, or any other legal entity (except any government or governmental subdivision or agency, or any officer or employee thereof acting in such individual’s official capacity) that is a source, compiler, or supplier of information regarding real estate for sale or lease and other data and includes, but is not limited to, multiple listing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payment to a broker or licensee for real estate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“Completed application”</w:t>
      </w:r>
      <w:r>
        <w:rPr>
          <w:rFonts w:ascii="Times New Roman" w:hAnsi="Times New Roman"/>
          <w:b w:val="false"/>
          <w:i w:val="false"/>
          <w:color w:val="000000"/>
          <w:sz w:val="22"/>
        </w:rPr>
        <w:t> </w:t>
      </w:r>
      <w:r>
        <w:rPr>
          <w:rFonts w:ascii="Times New Roman" w:hAnsi="Times New Roman"/>
          <w:b w:val="false"/>
          <w:i w:val="false"/>
          <w:color w:val="000000"/>
          <w:sz w:val="22"/>
        </w:rPr>
        <w:t>means an original or renewal application timely received with all necessary information, documents, signatures, fees or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made confidential by statute, regulation, or express instructions from the client. Confidential information does not include “material adverse facts” as defined in Iowa Code section </w:t>
      </w:r>
      <w:hyperlink r:id="rId11">
        <w:r>
          <w:rPr>
            <w:rStyle w:val="Hyperlink"/>
            <w:rFonts w:ascii="Times New Roman" w:hAnsi="Times New Roman"/>
            <w:b w:val="false"/>
            <w:i w:val="false"/>
            <w:color w:val="000000"/>
            <w:sz w:val="22"/>
          </w:rPr>
          <w:t>543B.5(14)</w:t>
        </w:r>
      </w:hyperlink>
      <w:r>
        <w:rPr>
          <w:rFonts w:ascii="Times New Roman" w:hAnsi="Times New Roman"/>
          <w:b w:val="false"/>
          <w:i w:val="false"/>
          <w:color w:val="000000"/>
          <w:sz w:val="22"/>
        </w:rPr>
        <w:t>. Confidential information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client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motivating factors for the party selling or leasing the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motivating factors for the party buying or leasing the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seller’s or landlord’s financial information, except that the seller’s ability to sell and the landlord’s ability to lease are considered a material fact;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buyer’s or tenant’s financial qualifications, except that the buyer’s ability to buy and the tenant’s ability to lease are considered a material fact.</w:t>
      </w:r>
    </w:p>
    <w:p>
      <w:pPr>
        <w:spacing w:before="0" w:after="0"/>
        <w:ind w:left="120"/>
        <w:jc w:val="both"/>
      </w:pPr>
      <w:r>
        <w:rPr>
          <w:rFonts w:ascii="Times New Roman" w:hAnsi="Times New Roman"/>
          <w:b w:val="false"/>
          <w:i w:val="false"/>
          <w:color w:val="000000"/>
          <w:sz w:val="22"/>
        </w:rPr>
        <w:t>Confidential information is not disclosable unless one of the following applies: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to whom the information pertains provides informed written consent to disclose the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disclosure is mandated by statute or regulation, or failure to disclose the information would constitute fraudulent representation;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information is made public or becomes public by the words or conduct of the client to whom the information pertains or from a source other than the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disclosure is necessary to defend the licensee against an accusation of wrongful conduct in an actual or threatened judicial proceeding, an administrative proceeding before the commission, or in a proceeding before a professional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w:t>
      </w:r>
      <w:r>
        <w:rPr>
          <w:rFonts w:ascii="Times New Roman" w:hAnsi="Times New Roman"/>
          <w:b w:val="false"/>
          <w:i w:val="false"/>
          <w:color w:val="000000"/>
          <w:sz w:val="22"/>
        </w:rPr>
        <w:t> </w:t>
      </w:r>
      <w:r>
        <w:rPr>
          <w:rFonts w:ascii="Times New Roman" w:hAnsi="Times New Roman"/>
          <w:b w:val="false"/>
          <w:i w:val="false"/>
          <w:color w:val="000000"/>
          <w:sz w:val="22"/>
        </w:rPr>
        <w:t>means a person seeking or receiving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 between the buyer and seller”</w:t>
      </w:r>
      <w:r>
        <w:rPr>
          <w:rFonts w:ascii="Times New Roman" w:hAnsi="Times New Roman"/>
          <w:b w:val="false"/>
          <w:i w:val="false"/>
          <w:color w:val="000000"/>
          <w:sz w:val="22"/>
        </w:rPr>
        <w:t> </w:t>
      </w:r>
      <w:r>
        <w:rPr>
          <w:rFonts w:ascii="Times New Roman" w:hAnsi="Times New Roman"/>
          <w:b w:val="false"/>
          <w:i w:val="false"/>
          <w:color w:val="000000"/>
          <w:sz w:val="22"/>
        </w:rPr>
        <w:t>means an offer to purchase, a sales contract, an option, a lease-purchase option, an offer to lease, or a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broker or broker associate designated as the person in charge of and responsible for supervision of a main office or branch office as defined in Iowa Code section </w:t>
      </w:r>
      <w:hyperlink r:id="rId14">
        <w:r>
          <w:rPr>
            <w:rStyle w:val="Hyperlink"/>
            <w:rFonts w:ascii="Times New Roman" w:hAnsi="Times New Roman"/>
            <w:b w:val="false"/>
            <w:i w:val="false"/>
            <w:color w:val="000000"/>
            <w:sz w:val="22"/>
          </w:rPr>
          <w:t>543B.5(11)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with the written informed consent of all the parties to a contemplated real estate transaction, has entered into a brokerage agreement with and therefore represents the seller and buyer or both the landlord and tenant in the same in-house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“Duplicate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“replacement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reissued for the remainder of a license term, at the written request of the broker, to replace a lost or destroyed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format”</w:t>
      </w:r>
      <w:r>
        <w:rPr>
          <w:rFonts w:ascii="Times New Roman" w:hAnsi="Times New Roman"/>
          <w:b w:val="false"/>
          <w:i w:val="false"/>
          <w:color w:val="000000"/>
          <w:sz w:val="22"/>
        </w:rPr>
        <w:t> </w:t>
      </w:r>
      <w:r>
        <w:rPr>
          <w:rFonts w:ascii="Times New Roman" w:hAnsi="Times New Roman"/>
          <w:b w:val="false"/>
          <w:i w:val="false"/>
          <w:color w:val="000000"/>
          <w:sz w:val="22"/>
        </w:rPr>
        <w:t>means a record generated, communicated, received, or stored by electronic means, and is in a format that has the continued capability to be retrieved and legibly printed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a licensure examination necessary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registered or intends to register to take a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“Filed”</w:t>
      </w:r>
      <w:r>
        <w:rPr>
          <w:rFonts w:ascii="Times New Roman" w:hAnsi="Times New Roman"/>
          <w:b w:val="false"/>
          <w:i w:val="false"/>
          <w:color w:val="000000"/>
          <w:sz w:val="22"/>
        </w:rPr>
        <w:t> </w:t>
      </w:r>
      <w:r>
        <w:rPr>
          <w:rFonts w:ascii="Times New Roman" w:hAnsi="Times New Roman"/>
          <w:b w:val="false"/>
          <w:i w:val="false"/>
          <w:color w:val="000000"/>
          <w:sz w:val="22"/>
        </w:rPr>
        <w:t>means that documents or application and fees are considered filed with the commission on the date postmarked, not the date metered, or on the date personally delivered to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licensed partnership, association, limited liability company,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“Listing broker”</w:t>
      </w:r>
      <w:r>
        <w:rPr>
          <w:rFonts w:ascii="Times New Roman" w:hAnsi="Times New Roman"/>
          <w:b w:val="false"/>
          <w:i w:val="false"/>
          <w:color w:val="000000"/>
          <w:sz w:val="22"/>
        </w:rPr>
        <w:t> </w:t>
      </w:r>
      <w:r>
        <w:rPr>
          <w:rFonts w:ascii="Times New Roman" w:hAnsi="Times New Roman"/>
          <w:b w:val="false"/>
          <w:i w:val="false"/>
          <w:color w:val="000000"/>
          <w:sz w:val="22"/>
        </w:rPr>
        <w:t>means the real estate broker who obtains a listing of real estate or of an interest in a residential cooperative housing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“Ministerial acts”</w:t>
      </w:r>
      <w:r>
        <w:rPr>
          <w:rFonts w:ascii="Times New Roman" w:hAnsi="Times New Roman"/>
          <w:b w:val="false"/>
          <w:i w:val="false"/>
          <w:color w:val="000000"/>
          <w:sz w:val="22"/>
        </w:rPr>
        <w:t> </w:t>
      </w:r>
      <w:r>
        <w:rPr>
          <w:rFonts w:ascii="Times New Roman" w:hAnsi="Times New Roman"/>
          <w:b w:val="false"/>
          <w:i w:val="false"/>
          <w:color w:val="000000"/>
          <w:sz w:val="22"/>
        </w:rPr>
        <w:t>means those acts that a licensee may perform for a consumer that are informative in nature and do not rise to the level of specific assistance on behalf of a consumer. For purposes of these rules, ministerial acts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responses to general consumer inquiries—whether made via telephone, in person, or through digital communication—regarding the availability and pricing of brokerage services, as well as the price, location, condition as reflected on the seller’s disclosure, and distinguishing features of specific properties;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Attending an open house and responding to general questions from a consumer about the facts and features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Setting an appointment to view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Accompanying an appraiser, inspector, contractor, or similar third party on a visit to a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Referring a person to another broker or service provider;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listing broker showing a property to a customer to which the listing broker has a brokerage agreement with a seller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“Moral turpitude”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act of baseness, vileness, or depravity, in the private and social duties which a person owes to another person or to society in general, contrary to the accepted and customary rule of right and duty between person and person. It is conduct that is contrary to justice, honesty and good morals. Various factors may cause an offense which is generally not regarded as constituting moral turpitude to be regarded as such. A crime of moral turpitude as specified in Iowa Code section </w:t>
      </w:r>
      <w:hyperlink r:id="rId16">
        <w:r>
          <w:rPr>
            <w:rStyle w:val="Hyperlink"/>
            <w:rFonts w:ascii="Times New Roman" w:hAnsi="Times New Roman"/>
            <w:b w:val="false"/>
            <w:i w:val="false"/>
            <w:color w:val="000000"/>
            <w:sz w:val="22"/>
          </w:rPr>
          <w:t>543B.15(3)</w:t>
        </w:r>
      </w:hyperlink>
      <w:r>
        <w:rPr>
          <w:rFonts w:ascii="Times New Roman" w:hAnsi="Times New Roman"/>
          <w:b w:val="false"/>
          <w:i w:val="false"/>
          <w:color w:val="000000"/>
          <w:sz w:val="22"/>
        </w:rPr>
        <w:t xml:space="preserve"> shall include without limitation forcible felonies as delineated in Iowa Code section </w:t>
      </w:r>
      <w:hyperlink r:id="rId17">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“Original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of a salesperson, broker, or firm that covers the first term of licensure in Iowa. A license applied for and reissued after the final deadline for renewal of a license is also an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“main license”</w:t>
      </w:r>
      <w:r>
        <w:rPr>
          <w:rFonts w:ascii="Times New Roman" w:hAnsi="Times New Roman"/>
          <w:b w:val="false"/>
          <w:i w:val="false"/>
          <w:color w:val="000000"/>
          <w:sz w:val="22"/>
        </w:rPr>
        <w:t> </w:t>
      </w:r>
      <w:r>
        <w:rPr>
          <w:rFonts w:ascii="Times New Roman" w:hAnsi="Times New Roman"/>
          <w:b w:val="false"/>
          <w:i w:val="false"/>
          <w:color w:val="000000"/>
          <w:sz w:val="22"/>
        </w:rPr>
        <w:t>means the original license issued based upon examination, including any subsequent renewals or reinstatements of the license. Continuing education is necessary to renew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broker”</w:t>
      </w:r>
      <w:r>
        <w:rPr>
          <w:rFonts w:ascii="Times New Roman" w:hAnsi="Times New Roman"/>
          <w:b w:val="false"/>
          <w:i w:val="false"/>
          <w:color w:val="000000"/>
          <w:sz w:val="22"/>
        </w:rPr>
        <w:t> </w:t>
      </w:r>
      <w:r>
        <w:rPr>
          <w:rFonts w:ascii="Times New Roman" w:hAnsi="Times New Roman"/>
          <w:b w:val="false"/>
          <w:i w:val="false"/>
          <w:color w:val="000000"/>
          <w:sz w:val="22"/>
        </w:rPr>
        <w:t>means a broker who is either a real estate proprietor, a partner in a real estate partnership, or an officer in a real estate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“Real estate team”</w:t>
      </w:r>
      <w:r>
        <w:rPr>
          <w:rFonts w:ascii="Times New Roman" w:hAnsi="Times New Roman"/>
          <w:b w:val="false"/>
          <w:i w:val="false"/>
          <w:color w:val="000000"/>
          <w:sz w:val="22"/>
        </w:rPr>
        <w:t> </w:t>
      </w:r>
      <w:r>
        <w:rPr>
          <w:rFonts w:ascii="Times New Roman" w:hAnsi="Times New Roman"/>
          <w:b w:val="false"/>
          <w:i w:val="false"/>
          <w:color w:val="000000"/>
          <w:sz w:val="22"/>
        </w:rPr>
        <w:t>means two or more licensees assigned to the same broker, working together to provide real estate brokerage services and representing themselves to the public as a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“Renewal application form”</w:t>
      </w:r>
      <w:r>
        <w:rPr>
          <w:rFonts w:ascii="Times New Roman" w:hAnsi="Times New Roman"/>
          <w:b w:val="false"/>
          <w:i w:val="false"/>
          <w:color w:val="000000"/>
          <w:sz w:val="22"/>
        </w:rPr>
        <w:t> </w:t>
      </w:r>
      <w:r>
        <w:rPr>
          <w:rFonts w:ascii="Times New Roman" w:hAnsi="Times New Roman"/>
          <w:b w:val="false"/>
          <w:i w:val="false"/>
          <w:color w:val="000000"/>
          <w:sz w:val="22"/>
        </w:rPr>
        <w:t>means the form furnished by the commission to be completed and submitted to apply for renewal of a license as a real estate salesperson, real estate broker, real estate firm, branch office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representing the interests of the client, on the client’s behalf, but that is not the agent or broker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properties that are used primarily for living purposes rather than for business or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salesperson license as defined in Iowa Code section </w:t>
      </w:r>
      <w:hyperlink r:id="rId18">
        <w:r>
          <w:rPr>
            <w:rStyle w:val="Hyperlink"/>
            <w:rFonts w:ascii="Times New Roman" w:hAnsi="Times New Roman"/>
            <w:b w:val="false"/>
            <w:i w:val="false"/>
            <w:color w:val="000000"/>
            <w:sz w:val="22"/>
          </w:rPr>
          <w:t>543B.5(19)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“Seller”</w:t>
      </w:r>
      <w:r>
        <w:rPr>
          <w:rFonts w:ascii="Times New Roman" w:hAnsi="Times New Roman"/>
          <w:b w:val="false"/>
          <w:i w:val="false"/>
          <w:color w:val="000000"/>
          <w:sz w:val="22"/>
        </w:rPr>
        <w:t> </w:t>
      </w:r>
      <w:r>
        <w:rPr>
          <w:rFonts w:ascii="Times New Roman" w:hAnsi="Times New Roman"/>
          <w:b w:val="false"/>
          <w:i w:val="false"/>
          <w:color w:val="000000"/>
          <w:sz w:val="22"/>
        </w:rPr>
        <w:t>includes an owner, landlord, vendor, lessor, party to an exchange, or grantor of an option. Selected rules in these chapters will at times refer separately to “sellers” and “landlords” to clarify licensees’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“Selling broker”</w:t>
      </w:r>
      <w:r>
        <w:rPr>
          <w:rFonts w:ascii="Times New Roman" w:hAnsi="Times New Roman"/>
          <w:b w:val="false"/>
          <w:i w:val="false"/>
          <w:color w:val="000000"/>
          <w:sz w:val="22"/>
        </w:rPr>
        <w:t> </w:t>
      </w:r>
      <w:r>
        <w:rPr>
          <w:rFonts w:ascii="Times New Roman" w:hAnsi="Times New Roman"/>
          <w:b w:val="false"/>
          <w:i w:val="false"/>
          <w:color w:val="000000"/>
          <w:sz w:val="22"/>
        </w:rPr>
        <w:t>means a real estate broker who finds and obtains a buyer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“Showing”</w:t>
      </w:r>
      <w:r>
        <w:rPr>
          <w:rFonts w:ascii="Times New Roman" w:hAnsi="Times New Roman"/>
          <w:b w:val="false"/>
          <w:i w:val="false"/>
          <w:color w:val="000000"/>
          <w:sz w:val="22"/>
        </w:rPr>
        <w:t> </w:t>
      </w:r>
      <w:r>
        <w:rPr>
          <w:rFonts w:ascii="Times New Roman" w:hAnsi="Times New Roman"/>
          <w:b w:val="false"/>
          <w:i w:val="false"/>
          <w:color w:val="000000"/>
          <w:sz w:val="22"/>
        </w:rPr>
        <w:t>means the act of a licensee providing a client physical or virtual access to a property that is being sold by a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who represents only one party in a real estate transaction. A single agent includes a broker and any affiliated broker associates or salespersons representing a party exclusively or nonexclusively, regardless of whether the single agent be all affiliated broker associates or salespersons, or only the identified broker associates or salespersons, or a group of identified broker associates or salespersons. A single agent may be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agent,” which means a licensee who represents the seller in a real estate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“Landlord’s agent,” which means a licensee who represents the landlord in a leasing transaction;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“Buyer’s agent,” which means a licensee who represents the buyer in a real estate transaction;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“Tenant’s agent,” which means a licensee who represents the tenant in a leasing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“Sole-proprietor broker”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single license broker who privately owns and manages a real estate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assistance”</w:t>
      </w:r>
      <w:r>
        <w:rPr>
          <w:rFonts w:ascii="Times New Roman" w:hAnsi="Times New Roman"/>
          <w:b w:val="false"/>
          <w:i w:val="false"/>
          <w:color w:val="000000"/>
          <w:sz w:val="22"/>
        </w:rPr>
        <w:t> </w:t>
      </w:r>
      <w:r>
        <w:rPr>
          <w:rFonts w:ascii="Times New Roman" w:hAnsi="Times New Roman"/>
          <w:b w:val="false"/>
          <w:i w:val="false"/>
          <w:color w:val="000000"/>
          <w:sz w:val="22"/>
        </w:rPr>
        <w:t>means any communication beyond casual conversation concerning the facts and features of a property which occurs prior to the point of discussing price range or any specific, financial qualifications of the buyer or tenant, or selling or buying motives or objectives of the seller or buyer, or tenant or landlord, or eliciting or accepting information involving a proposed or preliminary offer associated with a specific property, in which the person may unknowingly divulge any confidential personal or financial information, which, if disclosed to the other party, could harm the party’s bargaining position. For the purposes of these rules, “specific assistance” does not include preliminary conversations or “small talk” concerning location and property styles, or responses to general factual questions from a potential buyer or tenant concerning facts and features of properties which have been advertised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of a real estate license. A license may be active, inactive, expired, suspended, revoked or canceled. “Inactive license” is defined in Iowa Code section </w:t>
      </w:r>
      <w:hyperlink r:id="rId19">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party”</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is not a client, is not a party to the transaction, and has no agency relationship to a real estate brokerage.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w:t>
      </w:r>
      <w:r>
        <w:rPr>
          <w:rFonts w:ascii="Times New Roman" w:hAnsi="Times New Roman"/>
          <w:b w:val="false"/>
          <w:i w:val="false"/>
          <w:color w:val="000000"/>
          <w:sz w:val="22"/>
        </w:rPr>
        <w:t> </w:t>
      </w:r>
      <w:r>
        <w:rPr>
          <w:rFonts w:ascii="Times New Roman" w:hAnsi="Times New Roman"/>
          <w:b w:val="false"/>
          <w:i w:val="false"/>
          <w:color w:val="000000"/>
          <w:sz w:val="22"/>
        </w:rPr>
        <w:t>means done or occurring at a reasonable time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 received”</w:t>
      </w:r>
      <w:r>
        <w:rPr>
          <w:rFonts w:ascii="Times New Roman" w:hAnsi="Times New Roman"/>
          <w:b w:val="false"/>
          <w:i w:val="false"/>
          <w:color w:val="000000"/>
          <w:sz w:val="22"/>
        </w:rPr>
        <w:t> </w:t>
      </w:r>
      <w:r>
        <w:rPr>
          <w:rFonts w:ascii="Times New Roman" w:hAnsi="Times New Roman"/>
          <w:b w:val="false"/>
          <w:i w:val="false"/>
          <w:color w:val="000000"/>
          <w:sz w:val="22"/>
        </w:rPr>
        <w:t>means postmarked, not metered, not later than midnight on the last date of the deadline specified by the Iowa Code or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“Transaction”</w:t>
      </w:r>
      <w:r>
        <w:rPr>
          <w:rFonts w:ascii="Times New Roman" w:hAnsi="Times New Roman"/>
          <w:b w:val="false"/>
          <w:i w:val="false"/>
          <w:color w:val="000000"/>
          <w:sz w:val="22"/>
        </w:rPr>
        <w:t> </w:t>
      </w:r>
      <w:r>
        <w:rPr>
          <w:rFonts w:ascii="Times New Roman" w:hAnsi="Times New Roman"/>
          <w:b w:val="false"/>
          <w:i w:val="false"/>
          <w:color w:val="000000"/>
          <w:sz w:val="22"/>
        </w:rPr>
        <w:t>means the sale, exchange, purchase, or rental of, or the granting or acceptance of, an option to sell, exchange, purchase, or rent an interest in real estate, but excluding the subleasing of an interest in a residential cooperative housing corporation, when the leases are for one year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w:t>
      </w:r>
      <w:r>
        <w:rPr>
          <w:rFonts w:ascii="Times New Roman" w:hAnsi="Times New Roman"/>
          <w:b w:val="false"/>
          <w:i w:val="false"/>
          <w:color w:val="000000"/>
          <w:sz w:val="22"/>
        </w:rPr>
        <w:t> </w:t>
      </w:r>
      <w:r>
        <w:rPr>
          <w:rFonts w:ascii="Times New Roman" w:hAnsi="Times New Roman"/>
          <w:b w:val="false"/>
          <w:i w:val="false"/>
          <w:color w:val="000000"/>
          <w:sz w:val="22"/>
        </w:rPr>
        <w:t>means the category to which a broker license or firm license is issued. A broker license may be issued as a sole-proprietor broker, broker officer, broker partner, or broker associate. A firm license may be issued as a corporation, partnership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“Undisclosed dual agent”</w:t>
      </w:r>
      <w:r>
        <w:rPr>
          <w:rFonts w:ascii="Times New Roman" w:hAnsi="Times New Roman"/>
          <w:b w:val="false"/>
          <w:i w:val="false"/>
          <w:color w:val="000000"/>
          <w:sz w:val="22"/>
        </w:rPr>
        <w:t> </w:t>
      </w:r>
      <w:r>
        <w:rPr>
          <w:rFonts w:ascii="Times New Roman" w:hAnsi="Times New Roman"/>
          <w:b w:val="false"/>
          <w:i w:val="false"/>
          <w:color w:val="000000"/>
          <w:sz w:val="22"/>
        </w:rPr>
        <w:t>means a licensee representing two or more clients in the same transaction whose interests are adverse without the knowledge and informed consent of the clients.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9481C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31.pdf" Type="http://schemas.openxmlformats.org/officeDocument/2006/relationships/hyperlink" Id="rId7"/>
    <Relationship TargetMode="External" Target="https://www.legis.iowa.gov/docs/ico/chapter/543B.3.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5.pdf" Type="http://schemas.openxmlformats.org/officeDocument/2006/relationships/hyperlink" Id="rId10"/>
    <Relationship TargetMode="External" Target="https://www.legis.iowa.gov/docs/ico/chapter/543B.5.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5.pdf" Type="http://schemas.openxmlformats.org/officeDocument/2006/relationships/hyperlink" Id="rId13"/>
    <Relationship TargetMode="External" Target="https://www.legis.iowa.gov/docs/ico/chapter/543B.5.pdf" Type="http://schemas.openxmlformats.org/officeDocument/2006/relationships/hyperlink" Id="rId14"/>
    <Relationship TargetMode="External" Target="https://www.legis.iowa.gov/docs/ico/chapter/543B.5.pdf" Type="http://schemas.openxmlformats.org/officeDocument/2006/relationships/hyperlink" Id="rId15"/>
    <Relationship TargetMode="External" Target="https://www.legis.iowa.gov/docs/ico/chapter/543B.15.pdf" Type="http://schemas.openxmlformats.org/officeDocument/2006/relationships/hyperlink" Id="rId16"/>
    <Relationship TargetMode="External" Target="https://www.legis.iowa.gov/docs/ico/chapter/702.11.pdf" Type="http://schemas.openxmlformats.org/officeDocument/2006/relationships/hyperlink" Id="rId17"/>
    <Relationship TargetMode="External" Target="https://www.legis.iowa.gov/docs/ico/chapter/543B.5.pdf" Type="http://schemas.openxmlformats.org/officeDocument/2006/relationships/hyperlink" Id="rId18"/>
    <Relationship TargetMode="External" Target="https://www.legis.iowa.gov/docs/ico/chapter/543B.5.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3B.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