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department of inspections, appeals, and licensing or the professional licensing and regulation division, the commission is the principal custodian of its own agency orders, statements of law or policy issued by the commission, legal documents, and other public documents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commission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2001.4(2)</w:t>
      </w:r>
      <w:r>
        <w:rPr>
          <w:rFonts w:ascii="Times New Roman" w:hAnsi="Times New Roman"/>
          <w:b w:val="false"/>
          <w:i w:val="false"/>
          <w:color w:val="000000"/>
          <w:sz w:val="22"/>
        </w:rPr>
        <w:t> </w:t>
      </w:r>
      <w:r>
        <w:rPr>
          <w:rFonts w:ascii="Times New Roman" w:hAnsi="Times New Roman"/>
          <w:b w:val="false"/>
          <w:i w:val="false"/>
          <w:color w:val="000000"/>
          <w:sz w:val="22"/>
        </w:rPr>
        <w:t>Records, documents and other information may be gathered, stored, and available in electronic format. Information, various forms, documents, and the license law and rules may be reviewed or obtained at any time by the public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2001.4(3)</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any deadline for filing a document that falls on a Saturday, Sunday, or official state holiday will be extended to the next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