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rrespondence and commun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rrespondence and communications with the commission should be addressed or directed to the commission off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