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481—1084.4</w:t>
      </w:r>
      <w:r>
        <w:rPr>
          <w:rFonts w:ascii="Times New Roman" w:hAnsi="Times New Roman"/>
          <w:b/>
          <w:i w:val="false"/>
          <w:color w:val="000000"/>
          <w:sz w:val="22"/>
        </w:rPr>
        <w:t xml:space="preserve">(544B,272C) </w:t>
      </w:r>
      <w:r>
        <w:rPr>
          <w:rFonts w:ascii="Times New Roman" w:hAnsi="Times New Roman"/>
          <w:b/>
          <w:i w:val="false"/>
          <w:color w:val="000000"/>
          <w:sz w:val="22"/>
        </w:rPr>
        <w:t xml:space="preserve">Investigation report of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1084.4(1)</w:t>
      </w:r>
      <w:r>
        <w:rPr>
          <w:rFonts w:ascii="Times New Roman" w:hAnsi="Times New Roman"/>
          <w:b w:val="false"/>
          <w:i w:val="false"/>
          <w:color w:val="000000"/>
          <w:sz w:val="22"/>
        </w:rPr>
        <w:t> </w:t>
      </w:r>
      <w:r>
        <w:rPr>
          <w:rFonts w:ascii="Times New Roman" w:hAnsi="Times New Roman"/>
          <w:b w:val="false"/>
          <w:i/>
          <w:color w:val="000000"/>
          <w:sz w:val="22"/>
        </w:rPr>
        <w:t xml:space="preserve">Board consideration of report to determine further action. </w:t>
      </w:r>
      <w:r>
        <w:rPr>
          <w:rFonts w:ascii="Times New Roman" w:hAnsi="Times New Roman"/>
          <w:b w:val="false"/>
          <w:i w:val="false"/>
          <w:color w:val="000000"/>
          <w:sz w:val="22"/>
        </w:rPr>
        <w:t>Upon completion of the investigation, the investigator(s) will prepare for the board’s consideration a report containing the position or defense of the licensee so the board may determine what further action is necessary. The board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 that the matter be further investigated.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the licensee who is the subject of the complaint an opportunity to appear before the designated discipline committee for an informal discussion regarding the circumstances of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there is no probable cause to believe that a violation has occurred and close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Determine there is probable cause to believe that a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1084.4(2)</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account of a complaint in an informal setting before the board determines whether probable cause exists to initiate a disciplinary proceeding. A licensee is not required to attend an informal discussion. Because disciplinary investigations are confidential, the licensee cannot bring other persons to an informal discussion, but licensees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and to receive the advice of staff, a licensee who desires to attend an informal discussion must therefore waive the right to seek disqualification of a board member or staff based solely on the board member’s or staff’s participation in an informal discussion. A licensee would not waive the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