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481—1084.3</w:t>
      </w:r>
      <w:r>
        <w:rPr>
          <w:rFonts w:ascii="Times New Roman" w:hAnsi="Times New Roman"/>
          <w:b/>
          <w:i w:val="false"/>
          <w:color w:val="000000"/>
          <w:sz w:val="22"/>
        </w:rPr>
        <w:t xml:space="preserve">(544B,17A) </w:t>
      </w:r>
      <w:r>
        <w:rPr>
          <w:rFonts w:ascii="Times New Roman" w:hAnsi="Times New Roman"/>
          <w:b/>
          <w:i w:val="false"/>
          <w:color w:val="000000"/>
          <w:sz w:val="22"/>
        </w:rPr>
        <w:t xml:space="preserve">Peer review committee. </w:t>
      </w:r>
      <w:r>
        <w:rPr>
          <w:rFonts w:ascii="Times New Roman" w:hAnsi="Times New Roman"/>
          <w:b w:val="false"/>
          <w:i w:val="false"/>
          <w:color w:val="000000"/>
          <w:sz w:val="22"/>
        </w:rPr>
        <w:t>At any point during the complaint procedure or the investigatory procedure and prior to determining whether probable cause exists that a violation has occurred, the board may appoint a peer review committee to assist the board in reaching its decision by conducting an investigation(s)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1084.3(1)</w:t>
      </w:r>
      <w:r>
        <w:rPr>
          <w:rFonts w:ascii="Times New Roman" w:hAnsi="Times New Roman"/>
          <w:b w:val="false"/>
          <w:i w:val="false"/>
          <w:color w:val="000000"/>
          <w:sz w:val="22"/>
        </w:rPr>
        <w:t> </w:t>
      </w:r>
      <w:r>
        <w:rPr>
          <w:rFonts w:ascii="Times New Roman" w:hAnsi="Times New Roman"/>
          <w:b w:val="false"/>
          <w:i/>
          <w:color w:val="000000"/>
          <w:sz w:val="22"/>
        </w:rPr>
        <w:t xml:space="preserve">Makeup of the peer review committee. </w:t>
      </w:r>
      <w:r>
        <w:rPr>
          <w:rFonts w:ascii="Times New Roman" w:hAnsi="Times New Roman"/>
          <w:b w:val="false"/>
          <w:i w:val="false"/>
          <w:color w:val="000000"/>
          <w:sz w:val="22"/>
        </w:rPr>
        <w:t>The committee will consist of one or more professional landscape architects who are selected for their knowledge and experience in the particular aspect of landscape architecture involved in the complaint. The following are ineligible for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Close relatives of the alleged violator(s) or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employed by the same firm or governmental unit as the alleged violator or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1084.3(2)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committee’s investigation will be limited to interviewing of complainants, the alleged violator, individuals with knowledge of the alleged violation, and individuals with knowledge of the alleged violator’s reputation in the community. The committee may not hire legal counsel, investigators, secretarial help or any other assistants without written authorization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1084.3(3)</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Committee members may receive per diem compensation equal to that received by board members for performing board duties. Committee members may be paid reasonable and necessary expenses that are incurred for travel, meals and lodging while performing committee duties within a budget limitation established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