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481—1084.2</w:t>
      </w:r>
      <w:r>
        <w:rPr>
          <w:rFonts w:ascii="Times New Roman" w:hAnsi="Times New Roman"/>
          <w:b/>
          <w:i w:val="false"/>
          <w:color w:val="000000"/>
          <w:sz w:val="22"/>
        </w:rPr>
        <w:t xml:space="preserve">(544B,17A) </w:t>
      </w:r>
      <w:r>
        <w:rPr>
          <w:rFonts w:ascii="Times New Roman" w:hAnsi="Times New Roman"/>
          <w:b/>
          <w:i w:val="false"/>
          <w:color w:val="000000"/>
          <w:sz w:val="22"/>
        </w:rPr>
        <w:t xml:space="preserve">Receipt of complaints. </w:t>
      </w:r>
      <w:r>
        <w:rPr>
          <w:rFonts w:ascii="Times New Roman" w:hAnsi="Times New Roman"/>
          <w:b w:val="false"/>
          <w:i w:val="false"/>
          <w:color w:val="000000"/>
          <w:sz w:val="22"/>
        </w:rPr>
        <w:t>The board will receive and review all complaints that the board reasonably believes indicate that a licensee may have committed an act that is cause for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Any person may file a complaint with the board charging that a licensee may have committed an act that is in violation of applicable law or rules. The complaint will be written and signed by the complainant and accompanied with substantial evidence indicating when, where, and how the licensee committed the violation. All complaints filed with the board will be privileged and held confidential pursuant to Iowa Code section </w:t>
      </w:r>
      <w:hyperlink r:id="rId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by all board members, peer review committee members and staff. A person filing a complaint will receive immunities in accordance with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1084.2(2)</w:t>
      </w:r>
      <w:r>
        <w:rPr>
          <w:rFonts w:ascii="Times New Roman" w:hAnsi="Times New Roman"/>
          <w:b w:val="false"/>
          <w:i w:val="false"/>
          <w:color w:val="000000"/>
          <w:sz w:val="22"/>
        </w:rPr>
        <w:t> </w:t>
      </w:r>
      <w:r>
        <w:rPr>
          <w:rFonts w:ascii="Times New Roman" w:hAnsi="Times New Roman"/>
          <w:b w:val="false"/>
          <w:i/>
          <w:color w:val="000000"/>
          <w:sz w:val="22"/>
        </w:rPr>
        <w:t xml:space="preserve">Board-instigated complaints. </w:t>
      </w:r>
      <w:r>
        <w:rPr>
          <w:rFonts w:ascii="Times New Roman" w:hAnsi="Times New Roman"/>
          <w:b w:val="false"/>
          <w:i w:val="false"/>
          <w:color w:val="000000"/>
          <w:sz w:val="22"/>
        </w:rPr>
        <w:t>Upon presentation of evidence by a board member, the board’s staff, or other state agency, the board may determine that a complaint should be opened and an investigation begun to determine if a licensee may have committed an act that is in violation of applicable law or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9157C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6.pdf" Type="http://schemas.openxmlformats.org/officeDocument/2006/relationships/hyperlink" Id="rId4"/>
    <Relationship TargetMode="External" Target="https://www.legis.iowa.gov/docs/ico/chapter/272C.8.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