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481—1083.6</w:t>
      </w:r>
      <w:r>
        <w:rPr>
          <w:rFonts w:ascii="Times New Roman" w:hAnsi="Times New Roman"/>
          <w:b/>
          <w:i w:val="false"/>
          <w:color w:val="000000"/>
          <w:sz w:val="22"/>
        </w:rPr>
        <w:t xml:space="preserve">(544B,17A) </w:t>
      </w:r>
      <w:r>
        <w:rPr>
          <w:rFonts w:ascii="Times New Roman" w:hAnsi="Times New Roman"/>
          <w:b/>
          <w:i w:val="false"/>
          <w:color w:val="000000"/>
          <w:sz w:val="22"/>
        </w:rPr>
        <w:t xml:space="preserve">Methods of compliance and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1083.6(1)</w:t>
      </w:r>
      <w:r>
        <w:rPr>
          <w:rFonts w:ascii="Times New Roman" w:hAnsi="Times New Roman"/>
          <w:b w:val="false"/>
          <w:i w:val="false"/>
          <w:color w:val="000000"/>
          <w:sz w:val="22"/>
        </w:rPr>
        <w:t> </w:t>
      </w:r>
      <w:r>
        <w:rPr>
          <w:rFonts w:ascii="Times New Roman" w:hAnsi="Times New Roman"/>
          <w:b w:val="false"/>
          <w:i w:val="false"/>
          <w:color w:val="000000"/>
          <w:sz w:val="22"/>
        </w:rPr>
        <w:t>A licensee licensed to practice as a professional landscape architect will be deemed to have complied with the continuing education requirements during the continuing education compliance period that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Serves honorably on active duty in the military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Resides in another state or district having a continuing education requirement for the occupation or profession and meets all the requirements of that state or district for practice therein;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 government employee working as a professional landscape architect and assigned to duty outside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approved by the board for periods of active practice and absence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1083.6(2)</w:t>
      </w:r>
      <w:r>
        <w:rPr>
          <w:rFonts w:ascii="Times New Roman" w:hAnsi="Times New Roman"/>
          <w:b w:val="false"/>
          <w:i w:val="false"/>
          <w:color w:val="000000"/>
          <w:sz w:val="22"/>
        </w:rPr>
        <w:t> </w:t>
      </w:r>
      <w:r>
        <w:rPr>
          <w:rFonts w:ascii="Times New Roman" w:hAnsi="Times New Roman"/>
          <w:b w:val="false"/>
          <w:i w:val="false"/>
          <w:color w:val="000000"/>
          <w:sz w:val="22"/>
        </w:rPr>
        <w:t>If the licensee was not engaged in active practice as a professional landscape architect and will maintain inactive status during the period for which renewal is requested, the board may exempt the licensee from continuing education. No exemption will be granted without a written request from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