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481—1083.3</w:t>
      </w:r>
      <w:r>
        <w:rPr>
          <w:rFonts w:ascii="Times New Roman" w:hAnsi="Times New Roman"/>
          <w:b/>
          <w:i w:val="false"/>
          <w:color w:val="000000"/>
          <w:sz w:val="22"/>
        </w:rPr>
        <w:t xml:space="preserve">(544B,17A) </w:t>
      </w:r>
      <w:r>
        <w:rPr>
          <w:rFonts w:ascii="Times New Roman" w:hAnsi="Times New Roman"/>
          <w:b/>
          <w:i w:val="false"/>
          <w:color w:val="000000"/>
          <w:sz w:val="22"/>
        </w:rPr>
        <w:t xml:space="preserve">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1083.3(1)</w:t>
      </w:r>
      <w:r>
        <w:rPr>
          <w:rFonts w:ascii="Times New Roman" w:hAnsi="Times New Roman"/>
          <w:b w:val="false"/>
          <w:i w:val="false"/>
          <w:color w:val="000000"/>
          <w:sz w:val="22"/>
        </w:rPr>
        <w:t> </w:t>
      </w:r>
      <w:r>
        <w:rPr>
          <w:rFonts w:ascii="Times New Roman" w:hAnsi="Times New Roman"/>
          <w:b w:val="false"/>
          <w:i w:val="false"/>
          <w:color w:val="000000"/>
          <w:sz w:val="22"/>
        </w:rPr>
        <w:t>Each professional landscape architect will file with the board a signed report, under penalty of perjury, on forms provided by the board or by online renewal, setting forth the continuing education activities in which the professional landscape architect has participated. The report will be filed with the renewal application for each two-year renewal period in which the claimed hours of continuing education were completed. The information in the report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school, firm or organization conducting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location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title of the course and a description of the content.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Names of the principal instructor(s).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dates attended.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hours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instances of service on a professional or community board, or other undocumented hours of continuing education (non-health, safety, and welfare documentation such as learning units or professional development hours), the licensee will provide a narrative description of the materials the licensee reviewed, the nature of the licensee’s service, and a description as to how the licensee’s claimed hours of continuing education have contributed to the health, safety, and welfare of the public.</w:t>
      </w:r>
    </w:p>
    <w:p>
      <w:pPr>
        <w:spacing w:before="0" w:after="0"/>
        <w:ind w:left="120"/>
        <w:jc w:val="both"/>
      </w:pPr>
      <w:r>
        <w:rPr>
          <w:rFonts w:ascii="Times New Roman" w:hAnsi="Times New Roman"/>
          <w:b w:val="false"/>
          <w:i w:val="false"/>
          <w:color w:val="000000"/>
          <w:sz w:val="22"/>
        </w:rPr>
        <w:t>This information shall be kept by the licensee for reported hours of continuing education for two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1083.3(2)</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architect’s continuing education report forms or online renewal may be selected for review by the board for verification of compliance with these requirements. Evidence of compliance will be maintained by the professional landscape architect for two years after the period for which the form was submitted and will include written verification of attendance by someone other than the licensee. Examples of evidence may include but are not limited to a certificate of completion presented by the program sponsor, a letter from an employer verifying attendance at an in-firm training session, or copies of minutes from public service meetings. Canceled checks, slideshow presentations, email confirmation or receipts for payments of fees to attend a program are not evidence of actual attendance and are not acceptable.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1083.3(3)</w:t>
      </w:r>
      <w:r>
        <w:rPr>
          <w:rFonts w:ascii="Times New Roman" w:hAnsi="Times New Roman"/>
          <w:b w:val="false"/>
          <w:i w:val="false"/>
          <w:color w:val="000000"/>
          <w:sz w:val="22"/>
        </w:rPr>
        <w:t> </w:t>
      </w:r>
      <w:r>
        <w:rPr>
          <w:rFonts w:ascii="Times New Roman" w:hAnsi="Times New Roman"/>
          <w:b w:val="false"/>
          <w:i w:val="false"/>
          <w:color w:val="000000"/>
          <w:sz w:val="22"/>
        </w:rPr>
        <w:t>Any discrepancy between the number of continuing education hours reported and the number of continuing education hours actually supported by documentation may result in a disciplinary review. If, after the disciplinary review, the board disallows any continuing education hours, or the licensee has failed to complete the required continuing education hours, the landscape architect will have 60 days from board notice to either provide further evidence of having completed the continuing education hours disallowed or remedy the discrepancy by completing the required number of continuing education hours (provided that such continuing education hours will not again be used for the next renewal). Extension of time may be granted on an individual basis and will be requested by the licensee within 30 days of notification by the board. If the licensee fails to comply with the requirements of this subrule, the licensee may be subject to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9156C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