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r>
        <w:rPr>
          <w:rFonts w:ascii="Times New Roman" w:hAnsi="Times New Roman"/>
          <w:b/>
          <w:i w:val="false"/>
          <w:color w:val="000000"/>
          <w:sz w:val="22"/>
        </w:rPr>
        <w:t>481—1083.2</w:t>
      </w:r>
      <w:r>
        <w:rPr>
          <w:rFonts w:ascii="Times New Roman" w:hAnsi="Times New Roman"/>
          <w:b/>
          <w:i w:val="false"/>
          <w:color w:val="000000"/>
          <w:sz w:val="22"/>
        </w:rPr>
        <w:t xml:space="preserve">(544B,17A) </w:t>
      </w:r>
      <w:r>
        <w:rPr>
          <w:rFonts w:ascii="Times New Roman" w:hAnsi="Times New Roman"/>
          <w:b/>
          <w:i w:val="false"/>
          <w:color w:val="000000"/>
          <w:sz w:val="22"/>
        </w:rPr>
        <w:t xml:space="preserve">Continuing education requirements. </w:t>
      </w:r>
      <w:r>
        <w:rPr>
          <w:rFonts w:ascii="Times New Roman" w:hAnsi="Times New Roman"/>
          <w:b w:val="false"/>
          <w:i w:val="false"/>
          <w:color w:val="000000"/>
          <w:sz w:val="22"/>
        </w:rPr>
        <w:t>In order for professional landscape architects to provide competent, professional services to the public, continuing education will consist of learning experiences that enhance, expand and keep current the skills, knowledge, and abilities of practicing professionals. Professional landscape architects may pursue learning experiences in technical, nontechnical, regulatory, ethics and business practice areas, provided that the continuing education directly benefits the health, safety, and welfare of the public.</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1083.2(1)</w:t>
      </w:r>
      <w:r>
        <w:rPr>
          <w:rFonts w:ascii="Times New Roman" w:hAnsi="Times New Roman"/>
          <w:b w:val="false"/>
          <w:i w:val="false"/>
          <w:color w:val="000000"/>
          <w:sz w:val="22"/>
        </w:rPr>
        <w:t> </w:t>
      </w:r>
      <w:r>
        <w:rPr>
          <w:rFonts w:ascii="Times New Roman" w:hAnsi="Times New Roman"/>
          <w:b w:val="false"/>
          <w:i w:val="false"/>
          <w:color w:val="000000"/>
          <w:sz w:val="22"/>
        </w:rPr>
        <w:t>Hours required. Each registrant will complete during each two-year licensing term a minimum of 24 hours of continuing education approved by the board. Compliance with the continuing education requirements is a prerequisite for license renewal.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1083.2(2)</w:t>
      </w:r>
      <w:r>
        <w:rPr>
          <w:rFonts w:ascii="Times New Roman" w:hAnsi="Times New Roman"/>
          <w:b w:val="false"/>
          <w:i w:val="false"/>
          <w:color w:val="000000"/>
          <w:sz w:val="22"/>
        </w:rPr>
        <w:t> </w:t>
      </w:r>
      <w:r>
        <w:rPr>
          <w:rFonts w:ascii="Times New Roman" w:hAnsi="Times New Roman"/>
          <w:b w:val="false"/>
          <w:i w:val="false"/>
          <w:color w:val="000000"/>
          <w:sz w:val="22"/>
        </w:rPr>
        <w:t>Within any biennial renewal period, 24 hours of continuing education must be acquired and will be in health, safety, and welfare subjects acquired in structured educational activities. A licensee may apply up to 12 continuing education hours obtained in excess of the requirement for a renewal period to the continuing education requirements for the following renewal period. Continuing education hours may be acquired in any location.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1083.2(3)</w:t>
      </w:r>
      <w:r>
        <w:rPr>
          <w:rFonts w:ascii="Times New Roman" w:hAnsi="Times New Roman"/>
          <w:b w:val="false"/>
          <w:i w:val="false"/>
          <w:color w:val="000000"/>
          <w:sz w:val="22"/>
        </w:rPr>
        <w:t> </w:t>
      </w:r>
      <w:r>
        <w:rPr>
          <w:rFonts w:ascii="Times New Roman" w:hAnsi="Times New Roman"/>
          <w:b w:val="false"/>
          <w:i w:val="false"/>
          <w:color w:val="000000"/>
          <w:sz w:val="22"/>
        </w:rPr>
        <w:t>A professional landscape architect who holds a license in Iowa for less than 12 months from the date of initial licensure will not be required to report continuing education at the first license renewal. A professional landscape architect who holds a license in Iowa for more than 12 months but less than 24 months from the date of initial licensure will be required to report 12 hours of continuing education in health, safety, and welfare subjects earned in the preceding 12 months at the first license renewal.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1083.2(4)</w:t>
      </w:r>
      <w:r>
        <w:rPr>
          <w:rFonts w:ascii="Times New Roman" w:hAnsi="Times New Roman"/>
          <w:b w:val="false"/>
          <w:i w:val="false"/>
          <w:color w:val="000000"/>
          <w:sz w:val="22"/>
        </w:rPr>
        <w:t> </w:t>
      </w:r>
      <w:r>
        <w:rPr>
          <w:rFonts w:ascii="Times New Roman" w:hAnsi="Times New Roman"/>
          <w:b w:val="false"/>
          <w:i w:val="false"/>
          <w:color w:val="000000"/>
          <w:sz w:val="22"/>
        </w:rPr>
        <w:t xml:space="preserve">Sources of continuing education. The following suggested list may be used by all licensees to determine the types of activities that may fulfill the continuing education requirements. All hours of continuing education must also comply with the directive in subrule </w:t>
      </w:r>
      <w:hyperlink r:id="rId4">
        <w:r>
          <w:rPr>
            <w:rStyle w:val="Hyperlink"/>
            <w:rFonts w:ascii="Times New Roman" w:hAnsi="Times New Roman"/>
            <w:b w:val="false"/>
            <w:i w:val="false"/>
            <w:color w:val="000000"/>
            <w:sz w:val="22"/>
          </w:rPr>
          <w:t>1083.2(2)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Hours of continuing education in attendance at short courses or seminars dealing with landscape architectural subjects and sponsored by colleges, universities or professional organizations.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Hours of continuing education in attendance at presentations on landscape architectural subjects that are held in conjunction with conventions or at seminars related to material use and function. Presentations such as those presented by CLARB, American Society of Landscape Architects, Construction Specification Institute, Construction Products Manufacturers Council or similar organizations devoted to landscape architecture education may qualify.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Hours of continuing education in attendance at short courses or seminars relating to business practice or new technology and offered by colleges, universities, professional organizations or system suppliers.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Hours of continuing education spent presenting or teaching courses or seminars in landscape architecture. Three preparation hours may be claimed for each class hour spent teaching landscape architectural courses or seminars. College or university faculty members may not claim credit for teaching regular curriculum courses.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Hours of continuing education spent learning through professional service to the public that draws upon the licensee’s professional expertise on boards and commissions, such as serving on planning commissions, building code advisory boards, urban renewal boards, code study commissions or community boards. Hours of continuing education under this paragraph will be limited to six hours earned in any biennial renewal period.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Hours of continuing education spent in landscape architectural research that is published or formally presented to the profession or public. Credit may be claimed only following proof of publication or presentation. Hours of continuing education under this paragraph will be limited to 12 hours earned in any biennial renewal period.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Hours of continuing education spent in distance learning that concludes with an examination or other verification of course completion.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College or university courses dealing with landscape architectural subjects or business practices. Each semester hour equals 15 hours of continuing education. A quarter hour equals ten hours of continuing education.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Hours of continuing education spent in educational tours or tours in areas significant to landscape architecture when the tour is sponsored by college, university or professional organizations and verification of participation is provided by the tour sponsor. Self-guided tours do not qualify. Hours of continuing education under this paragraph will be limited to six hours earned in any biennial renewal period.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val="false"/>
          <w:color w:val="000000"/>
          <w:sz w:val="22"/>
        </w:rPr>
        <w:t>Hours of continuing education spent attending in-house educational programs, including dinner, luncheon, and breakfast meetings.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1083.2(5)</w:t>
      </w:r>
      <w:r>
        <w:rPr>
          <w:rFonts w:ascii="Times New Roman" w:hAnsi="Times New Roman"/>
          <w:b w:val="false"/>
          <w:i w:val="false"/>
          <w:color w:val="000000"/>
          <w:sz w:val="22"/>
        </w:rPr>
        <w:t> </w:t>
      </w:r>
      <w:r>
        <w:rPr>
          <w:rFonts w:ascii="Times New Roman" w:hAnsi="Times New Roman"/>
          <w:b w:val="false"/>
          <w:i w:val="false"/>
          <w:color w:val="000000"/>
          <w:sz w:val="22"/>
        </w:rPr>
        <w:t>Financing. It is the responsibility of each licensee to finance the costs for continuing education.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9156C</w:t>
      </w:r>
      <w:r>
        <w:rPr>
          <w:rFonts w:ascii="Times New Roman" w:hAnsi="Times New Roman"/>
          <w:b w:val="false"/>
          <w:i w:val="false"/>
          <w:color w:val="000000"/>
          <w:sz w:val="16"/>
        </w:rPr>
        <w:t>, IAB 4/30/25, effective 6/4/25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6/10/26</w:t>
      </w:r>
      <w:r>
        <w:rPr>
          <w:rFonts w:ascii="Times New Roman" w:hAnsi="Times New Roman"/>
          <w:b w:val="false"/>
          <w:i w:val="false"/>
          <w:color w:val="000000"/>
          <w:sz w:val="16"/>
        </w:rPr>
        <w:t>]</w:t>
      </w:r>
    </w:p>
    <w:sectPr>
      <w:footerReference r:id="rId5"/>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ac/rule/193D.1083.2.pdf" Type="http://schemas.openxmlformats.org/officeDocument/2006/relationships/hyperlink" Id="rId4"/>
    <Relationship Target="footer.xml" Type="http://schemas.openxmlformats.org/officeDocument/2006/relationships/footer" Id="rId5"/>
</Relationships>

</file>

<file path=docProps/app.xml><?xml version="1.0" encoding="utf-8"?>
<properties:Properties xmlns:vt="http://schemas.openxmlformats.org/officeDocument/2006/docPropsVTypes" xmlns:properties="http://schemas.openxmlformats.org/officeDocument/2006/extended-properties"/>
</file>

<file path=docProps/core.xml><?xml version="1.0" encoding="utf-8"?>
<cp:coreProperties xmlns:cp="http://schemas.openxmlformats.org/package/2006/metadata/core-properties" xmlns:dcterms="http://purl.org/dc/terms/" xmlns:dc="http://purl.org/dc/elements/1.1/"/>
</file>