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481—1083.1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directly safeguard the public’s health, safety, and welfare. Such subjects include design, environmental systems, site design, land use analyses, landscape architecture programming, grading and drainage, storm water management, erosion control, site and soil analyses, accessibility, building codes, review of state registration laws including the rules of professional conduct, evaluation and selection of products and materials, cost analysis, construction methods, contract documentation, construction contract administration, construction administration, construction-phase office procedures, project management, and the like.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“Hours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 contact hour spent in either structured educational activities or individually planned activities intended to increase the professional landscape architect’s knowledge and competence in public protection subjects and related practice subjects. “Contact hour” is defined as the typical 50-minute classroom instructional session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the teaching methodology consists primarily of systematic presentation of public protection subjects or related practice subjects by qualified individuals or organizations including monographs, courses of study taught in person or by correspondence, organized lectures, presentations or workshops, and other means through which identifiable technical and professional subjects are presented in a planned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