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481—1082.8</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1082.8(1)</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 lapsed certificate of licensure to active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$25-per-month fee shall not be assessed if the applicant for reinstatement did not, during the period of lapse, engage in any acts or practices for which an active landscape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professional activities that the applicant performed in Iowa during the period of nonlicensure.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documented evidence of completion of continuing education based on the licensee’s date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more than 12 months, but less than 24 months from the date of initial licensure, will be required to report 12 contact hours that should have been reported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24 months or more from the date of initial licensure will be required to report 24 contact hours that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hours must be completed in health, safety, and welfare subjects acquired in structured educational activities and be in compliance with the requirements in </w:t>
      </w:r>
      <w:hyperlink r:id="rId4">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may 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Out-of-state residents may submit a statement from their resident state’s licensing board as documented evidence of compliance with their resident state’s mandatory continuing education requirements during the period of nonlicensure. The statement will bear the seal of the licensing board. Out-of-state residents whose resident state has no mandatory continuing education will comply with the documented evidence requirements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1082.8(2)</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will pay the current active licensure fee. If the individual is reinstating to active status at a date that is less than 12 months from the next biennial renewal date, one-half of the current active licensure fee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submit documented evidence of completion of 24 contact hours of continuing education in health, safety, and welfare subjects in compliance with the requirements in </w:t>
      </w:r>
      <w:hyperlink r:id="rId5">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to active status cannot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will complete the appropriate continuing education for subsequent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individual will not be required to report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more than 12 months, but less than 24 months, from the date of the filing of the application to restore the certificate of licensure to active status, the individual will report 12 hours of previously unreported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provide a written statement in which the applicant affirms that the applicant has not engaged in any of the practices in Iowa that are listed in Iowa Code section </w:t>
      </w:r>
      <w:hyperlink r:id="rId6">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 xml:space="preserve"> during the period of inactive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1082.8(3)</w:t>
      </w:r>
      <w:r>
        <w:rPr>
          <w:rFonts w:ascii="Times New Roman" w:hAnsi="Times New Roman"/>
          <w:b w:val="false"/>
          <w:i w:val="false"/>
          <w:color w:val="000000"/>
          <w:sz w:val="22"/>
        </w:rPr>
        <w:t> </w:t>
      </w:r>
      <w:r>
        <w:rPr>
          <w:rFonts w:ascii="Times New Roman" w:hAnsi="Times New Roman"/>
          <w:b w:val="false"/>
          <w:i w:val="false"/>
          <w:color w:val="000000"/>
          <w:sz w:val="22"/>
        </w:rPr>
        <w:t>The board will review reinstatement applications on a case-by-case basis and may, at its discretion, require that the applicant take the LARE as a prerequisite to reinstatement to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83.pdf" Type="http://schemas.openxmlformats.org/officeDocument/2006/relationships/hyperlink" Id="rId4"/>
    <Relationship TargetMode="External" Target="https://www.legis.iowa.gov/docs/iac/chapter/481.1083.pdf" Type="http://schemas.openxmlformats.org/officeDocument/2006/relationships/hyperlink" Id="rId5"/>
    <Relationship TargetMode="External" Target="https://www.legis.iowa.gov/docs/ico/chapter/544B.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