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481—1082.7</w:t>
      </w:r>
      <w:r>
        <w:rPr>
          <w:rFonts w:ascii="Times New Roman" w:hAnsi="Times New Roman"/>
          <w:b/>
          <w:i w:val="false"/>
          <w:color w:val="000000"/>
          <w:sz w:val="22"/>
        </w:rPr>
        <w:t xml:space="preserve">(17A,272C,544B) </w:t>
      </w:r>
      <w:r>
        <w:rPr>
          <w:rFonts w:ascii="Times New Roman" w:hAnsi="Times New Roman"/>
          <w:b/>
          <w:i w:val="false"/>
          <w:color w:val="000000"/>
          <w:sz w:val="22"/>
        </w:rPr>
        <w:t xml:space="preserve">Renewal of certificates of licensure. </w:t>
      </w:r>
      <w:r>
        <w:rPr>
          <w:rFonts w:ascii="Times New Roman" w:hAnsi="Times New Roman"/>
          <w:b w:val="false"/>
          <w:i w:val="false"/>
          <w:color w:val="000000"/>
          <w:sz w:val="22"/>
        </w:rPr>
        <w:t xml:space="preserve">Certificates of licensure expire biennially on June 30. In order to maintain authorization to practice in Iowa, a licensee is required to renew the certificate of licensure prior to July 1 of the year of expiration. A licensee who fails to renew by the expiration date is not authorized to practice landscape architecture in Iowa until the certificate is reinstated as provided in rule </w:t>
      </w:r>
      <w:hyperlink r:id="rId4">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email to each licensee a notice of the pending expiration date at the licensee’s last-known address approximately one month prior to the date the certificate of licensure is scheduled to expire. Failure to receive this notice does not relieve the licensee of the responsibility to timely renew the certificate and pay the renewal fee. A licensee should contact the board office if the licensee does not receive a renewal notice prior to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will send notification to the applicant. Grounds may exist to deny an application to renew if, for instance, the licensee failed to satisfy the continuing education as required as a condition for licensure. If the basis for denial is pending disciplinary action or disciplinary investigation that is reasonably expected to culminate in disciplinary action, the board will proceed as provided in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rule </w:t>
      </w:r>
      <w:hyperlink r:id="rId6">
        <w:r>
          <w:rPr>
            <w:rStyle w:val="Hyperlink"/>
            <w:rFonts w:ascii="Times New Roman" w:hAnsi="Times New Roman"/>
            <w:b w:val="false"/>
            <w:i w:val="false"/>
            <w:color w:val="000000"/>
            <w:sz w:val="22"/>
          </w:rPr>
          <w:t>481—506.33</w:t>
        </w:r>
      </w:hyperlink>
      <w:r>
        <w:rPr>
          <w:rFonts w:ascii="Times New Roman" w:hAnsi="Times New Roman"/>
          <w:b w:val="false"/>
          <w:i w:val="false"/>
          <w:color w:val="000000"/>
          <w:sz w:val="22"/>
        </w:rPr>
        <w:t>(17A,272C).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appears to be in violation of mandatory continuing education requirements, and after or in lieu of giving the licensee an opportunity to come into compliance under </w:t>
      </w:r>
      <w:hyperlink r:id="rId7">
        <w:r>
          <w:rPr>
            <w:rStyle w:val="Hyperlink"/>
            <w:rFonts w:ascii="Times New Roman" w:hAnsi="Times New Roman"/>
            <w:b w:val="false"/>
            <w:i w:val="false"/>
            <w:color w:val="000000"/>
            <w:sz w:val="22"/>
          </w:rPr>
          <w:t>481—subrule 1083.3(3)</w:t>
        </w:r>
      </w:hyperlink>
      <w:r>
        <w:rPr>
          <w:rFonts w:ascii="Times New Roman" w:hAnsi="Times New Roman"/>
          <w:b w:val="false"/>
          <w:i w:val="false"/>
          <w:color w:val="000000"/>
          <w:sz w:val="22"/>
        </w:rPr>
        <w:t xml:space="preserve">, the board may, in lieu of proceeding to a contested case hearing on the denial of a renewal application as provided in rule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licensee complete hours equal to double the deficiency in addition to the required hours; and may impose additional educational requirements on the licensee. Any additional hours completed in compliance with the consent order cannot again be claimed at the next renewal. The board will address subsequent offenses on a case-by-case basis. A licensee is free to accept or reject the offer. If the offer of settlement is accepted, the licensee will be issued a renewed certificate of licensure and will be subject to disciplinary action if the terms of the consent order are not complied with. If the offer of settlement is rejected, the matter will be set for hearing, if timely requested by the licensee pursuant to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1082.7(4)</w:t>
      </w:r>
      <w:r>
        <w:rPr>
          <w:rFonts w:ascii="Times New Roman" w:hAnsi="Times New Roman"/>
          <w:b w:val="false"/>
          <w:i w:val="false"/>
          <w:color w:val="000000"/>
          <w:sz w:val="22"/>
        </w:rPr>
        <w:t> </w:t>
      </w:r>
      <w:r>
        <w:rPr>
          <w:rFonts w:ascii="Times New Roman" w:hAnsi="Times New Roman"/>
          <w:b w:val="false"/>
          <w:i w:val="false"/>
          <w:color w:val="000000"/>
          <w:sz w:val="22"/>
        </w:rPr>
        <w:t>The board may notify licensees whose certificates of licensure have expired. The failure of the board to provide this courtesy notification or the failure of the licensee to receive the notification will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1082.7(5)</w:t>
      </w:r>
      <w:r>
        <w:rPr>
          <w:rFonts w:ascii="Times New Roman" w:hAnsi="Times New Roman"/>
          <w:b w:val="false"/>
          <w:i w:val="false"/>
          <w:color w:val="000000"/>
          <w:sz w:val="22"/>
        </w:rPr>
        <w:t> </w:t>
      </w:r>
      <w:r>
        <w:rPr>
          <w:rFonts w:ascii="Times New Roman" w:hAnsi="Times New Roman"/>
          <w:b w:val="false"/>
          <w:i w:val="false"/>
          <w:color w:val="000000"/>
          <w:sz w:val="22"/>
        </w:rPr>
        <w:t>A licensee who continues to practice landscape architecture in Iowa after licensure has expired will be subject to disciplinary action. Such unauthorized activity may also be grounds to deny a licensee’s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1082.7(6)</w:t>
      </w:r>
      <w:r>
        <w:rPr>
          <w:rFonts w:ascii="Times New Roman" w:hAnsi="Times New Roman"/>
          <w:b w:val="false"/>
          <w:i w:val="false"/>
          <w:color w:val="000000"/>
          <w:sz w:val="22"/>
        </w:rPr>
        <w:t> </w:t>
      </w:r>
      <w:r>
        <w:rPr>
          <w:rFonts w:ascii="Times New Roman" w:hAnsi="Times New Roman"/>
          <w:b w:val="false"/>
          <w:i w:val="false"/>
          <w:color w:val="000000"/>
          <w:sz w:val="22"/>
        </w:rPr>
        <w:t>Licensees will notify the board within 30 days of any change of address or business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status. This subrule establishes a procedure under which a person issued a certificate of licensure as a landscape architect may apply to the board to register as inactive. Licensure under this subrule is available to a licensee residing within or outside the state of Iowa who is not using the title “landscape architect” while offering services as a landscape architect. A person eligible to register as inactive may, as an alternative to licensure, allow the certificate of licensure to lapse. During any period of inactive status, a person will not engage in the practice of landscape architecture while using the title “landscape architect” or any other title that might imply that the person is offering services as a landscape architect in violation of Iowa Code section </w:t>
      </w:r>
      <w:hyperlink r:id="rId10">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The board will continue to maintain a database of persons licensed as inactive, including information that is not routinely maintained after a certificate of licensure has lapsed through the person’s failure to renew. A person who registers as inactive will accordingly receive a renewal notice if the notice is sent by the board, board newsletters, and other mass communications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renewal application will contain a statement in which the applicant affirms that the applicant will not engage in the practice of landscape architecture while using the title “landscape architect” in violation of Iowa Code section </w:t>
      </w:r>
      <w:hyperlink r:id="rId11">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without first complying with all rules governing reinstatement to active status. A person on inactive status may reinstate to active status at any time pursuant to rule </w:t>
      </w:r>
      <w:hyperlink r:id="rId12">
        <w:r>
          <w:rPr>
            <w:rStyle w:val="Hyperlink"/>
            <w:rFonts w:ascii="Times New Roman" w:hAnsi="Times New Roman"/>
            <w:b w:val="false"/>
            <w:i w:val="false"/>
            <w:color w:val="000000"/>
            <w:sz w:val="22"/>
          </w:rPr>
          <w:t>481—1082.8</w:t>
        </w:r>
      </w:hyperlink>
      <w:r>
        <w:rPr>
          <w:rFonts w:ascii="Times New Roman" w:hAnsi="Times New Roman"/>
          <w:b w:val="false"/>
          <w:i w:val="false"/>
          <w:color w:val="000000"/>
          <w:sz w:val="22"/>
        </w:rPr>
        <w:t>(544B,17A).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A person licensed as inactive may renew the person’s certificate of licensure on the biennial schedule described in this rule. This person will be exempt from the continuing education requirements and will be charged a reduced renewal fee as provided in rule </w:t>
      </w:r>
      <w:hyperlink r:id="rId13">
        <w:r>
          <w:rPr>
            <w:rStyle w:val="Hyperlink"/>
            <w:rFonts w:ascii="Times New Roman" w:hAnsi="Times New Roman"/>
            <w:b w:val="false"/>
            <w:i w:val="false"/>
            <w:color w:val="000000"/>
            <w:sz w:val="22"/>
          </w:rPr>
          <w:t>481—1082.10</w:t>
        </w:r>
      </w:hyperlink>
      <w:r>
        <w:rPr>
          <w:rFonts w:ascii="Times New Roman" w:hAnsi="Times New Roman"/>
          <w:b w:val="false"/>
          <w:i w:val="false"/>
          <w:color w:val="000000"/>
          <w:sz w:val="22"/>
        </w:rPr>
        <w:t>(544B,17A). An inactive certificate of licensure will lapse if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r>
        <w:rPr>
          <w:rFonts w:ascii="Times New Roman" w:hAnsi="Times New Roman"/>
          <w:b w:val="false"/>
          <w:i w:val="false"/>
          <w:color w:val="000000"/>
          <w:sz w:val="22"/>
        </w:rPr>
        <w:t xml:space="preserve">A person may, while licensed as inactive, perform for a client, business, employer, government body, or other entity those services that may lawfully be provided by a person to whom a certificate of licensure has never been issued. For an “inactive” licensee, such services may be performed as long as the person does not in connection with such services use the title “landscape architect” or any other title restricted for use only by landscape architects pursuant to Iowa Code section </w:t>
      </w:r>
      <w:hyperlink r:id="rId14">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(with or without additional designations such as “inactive”). Restricted titles may be used only by active landscape architects who are subject to continuing education requirements to ensure that the use of such titles is consistently associated with the maintenance of competency through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Prohibited practices. </w:t>
      </w:r>
      <w:r>
        <w:rPr>
          <w:rFonts w:ascii="Times New Roman" w:hAnsi="Times New Roman"/>
          <w:b w:val="false"/>
          <w:i w:val="false"/>
          <w:color w:val="000000"/>
          <w:sz w:val="22"/>
        </w:rPr>
        <w:t xml:space="preserve">A person who, while licensed as inactive, engages in any of the practices described in Iowa Code section </w:t>
      </w:r>
      <w:hyperlink r:id="rId15">
        <w:r>
          <w:rPr>
            <w:rStyle w:val="Hyperlink"/>
            <w:rFonts w:ascii="Times New Roman" w:hAnsi="Times New Roman"/>
            <w:b w:val="false"/>
            <w:i w:val="false"/>
            <w:color w:val="000000"/>
            <w:sz w:val="22"/>
          </w:rPr>
          <w:t>544B.18</w:t>
        </w:r>
      </w:hyperlink>
      <w:r>
        <w:rPr>
          <w:rFonts w:ascii="Times New Roman" w:hAnsi="Times New Roman"/>
          <w:b w:val="false"/>
          <w:i w:val="false"/>
          <w:color w:val="000000"/>
          <w:sz w:val="22"/>
        </w:rPr>
        <w:t xml:space="preserve"> is subject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82.8.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481.506.33.pdf" Type="http://schemas.openxmlformats.org/officeDocument/2006/relationships/hyperlink" Id="rId6"/>
    <Relationship TargetMode="External" Target="https://www.legis.iowa.gov/docs/iac/rule/481.1083.3.pdf" Type="http://schemas.openxmlformats.org/officeDocument/2006/relationships/hyperlink" Id="rId7"/>
    <Relationship TargetMode="External" Target="https://www.legis.iowa.gov/docs/iac/chapter/481.506.pdf" Type="http://schemas.openxmlformats.org/officeDocument/2006/relationships/hyperlink" Id="rId8"/>
    <Relationship TargetMode="External" Target="https://www.legis.iowa.gov/docs/iac/chapter/481.506.pdf" Type="http://schemas.openxmlformats.org/officeDocument/2006/relationships/hyperlink" Id="rId9"/>
    <Relationship TargetMode="External" Target="https://www.legis.iowa.gov/docs/ico/chapter/544B.18.pdf" Type="http://schemas.openxmlformats.org/officeDocument/2006/relationships/hyperlink" Id="rId10"/>
    <Relationship TargetMode="External" Target="https://www.legis.iowa.gov/docs/ico/chapter/544B.18.pdf" Type="http://schemas.openxmlformats.org/officeDocument/2006/relationships/hyperlink" Id="rId11"/>
    <Relationship TargetMode="External" Target="https://www.legis.iowa.gov/docs/iac/rule/481.1082.8.pdf" Type="http://schemas.openxmlformats.org/officeDocument/2006/relationships/hyperlink" Id="rId12"/>
    <Relationship TargetMode="External" Target="https://www.legis.iowa.gov/docs/iac/rule/481.1082.10.pdf" Type="http://schemas.openxmlformats.org/officeDocument/2006/relationships/hyperlink" Id="rId13"/>
    <Relationship TargetMode="External" Target="https://www.legis.iowa.gov/docs/ico/chapter/544B.18.pdf" Type="http://schemas.openxmlformats.org/officeDocument/2006/relationships/hyperlink" Id="rId14"/>
    <Relationship TargetMode="External" Target="https://www.legis.iowa.gov/docs/ico/chapter/544B.18.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