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481—1082.6</w:t>
      </w:r>
      <w:r>
        <w:rPr>
          <w:rFonts w:ascii="Times New Roman" w:hAnsi="Times New Roman"/>
          <w:b/>
          <w:i w:val="false"/>
          <w:color w:val="000000"/>
          <w:sz w:val="22"/>
        </w:rPr>
        <w:t xml:space="preserve">(544B,17A) </w:t>
      </w:r>
      <w:r>
        <w:rPr>
          <w:rFonts w:ascii="Times New Roman" w:hAnsi="Times New Roman"/>
          <w:b/>
          <w:i w:val="false"/>
          <w:color w:val="000000"/>
          <w:sz w:val="22"/>
        </w:rPr>
        <w:t xml:space="preserve">Certificate of licensure. </w:t>
      </w:r>
      <w:r>
        <w:rPr>
          <w:rFonts w:ascii="Times New Roman" w:hAnsi="Times New Roman"/>
          <w:b w:val="false"/>
          <w:i w:val="false"/>
          <w:color w:val="000000"/>
          <w:sz w:val="22"/>
        </w:rPr>
        <w:t>When an applicant has qualified for licensure under this chapter and has paid the required license fee, board staff will enroll the applicant’s name in the roster of professional landscape architects and issue to the applicant a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1082.6(1)</w:t>
      </w: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The certificate will indicate the license number of the landscape architect that must appear on the professional landscape architect’s seal and on all works signed by the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1082.6(2)</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Only one certificate of licensure will be issued to a professional landscape architect. The certificate will be displayed in a conspicuous place at the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