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481—1082.5</w:t>
      </w:r>
      <w:r>
        <w:rPr>
          <w:rFonts w:ascii="Times New Roman" w:hAnsi="Times New Roman"/>
          <w:b/>
          <w:i w:val="false"/>
          <w:color w:val="000000"/>
          <w:sz w:val="22"/>
        </w:rPr>
        <w:t xml:space="preserve">(544B,17A) </w:t>
      </w:r>
      <w:r>
        <w:rPr>
          <w:rFonts w:ascii="Times New Roman" w:hAnsi="Times New Roman"/>
          <w:b/>
          <w:i w:val="false"/>
          <w:color w:val="000000"/>
          <w:sz w:val="22"/>
        </w:rPr>
        <w:t xml:space="preserve">Exemption from written examination. </w:t>
      </w:r>
      <w:r>
        <w:rPr>
          <w:rFonts w:ascii="Times New Roman" w:hAnsi="Times New Roman"/>
          <w:b w:val="false"/>
          <w:i w:val="false"/>
          <w:color w:val="000000"/>
          <w:sz w:val="22"/>
        </w:rPr>
        <w:t>The board may exempt from written examination an applicant who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1082.5(1)</w:t>
      </w:r>
      <w:r>
        <w:rPr>
          <w:rFonts w:ascii="Times New Roman" w:hAnsi="Times New Roman"/>
          <w:b w:val="false"/>
          <w:i w:val="false"/>
          <w:color w:val="000000"/>
          <w:sz w:val="22"/>
        </w:rPr>
        <w:t> </w:t>
      </w:r>
      <w:r>
        <w:rPr>
          <w:rFonts w:ascii="Times New Roman" w:hAnsi="Times New Roman"/>
          <w:b w:val="false"/>
          <w:i w:val="false"/>
          <w:color w:val="000000"/>
          <w:sz w:val="22"/>
        </w:rPr>
        <w:t>The applicant holds a current CLARB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1082.5(2)</w:t>
      </w:r>
      <w:r>
        <w:rPr>
          <w:rFonts w:ascii="Times New Roman" w:hAnsi="Times New Roman"/>
          <w:b w:val="false"/>
          <w:i w:val="false"/>
          <w:color w:val="000000"/>
          <w:sz w:val="22"/>
        </w:rPr>
        <w:t> </w:t>
      </w:r>
      <w:r>
        <w:rPr>
          <w:rFonts w:ascii="Times New Roman" w:hAnsi="Times New Roman"/>
          <w:b w:val="false"/>
          <w:i w:val="false"/>
          <w:color w:val="000000"/>
          <w:sz w:val="22"/>
        </w:rPr>
        <w:t>The applicant holds a license to practice landscape architecture issued upon written examination by another jurisdiction and has submitted a certificate from the jurisdiction of original licensure verifying that the applicant passed the examination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1082.5(3)</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landscape architecture issued by another jurisdiction whose current licensure requirements, including the examination requirements, are substantially equivalent to or exceed those required for licensure as a landscape architect in Iowa, and during the time period in which the applicant was issued an initial license in the other jurisdiction, that jurisdiction did not require a written examination for initial applicants but did require board review and approval of education and experience designed to demonstrate competence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grandfathered in under the laws of the other jurisdiction before written examinations for initial licensure were mandated by the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Submits a certificate from the jurisdiction of original licensure verifying that the applicant was licensed during the period in which there was no written examination and submits proof of license in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