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481—1082.2</w:t>
      </w:r>
      <w:r>
        <w:rPr>
          <w:rFonts w:ascii="Times New Roman" w:hAnsi="Times New Roman"/>
          <w:b/>
          <w:i w:val="false"/>
          <w:color w:val="000000"/>
          <w:sz w:val="22"/>
        </w:rPr>
        <w:t xml:space="preserve">(544B,17A) </w:t>
      </w:r>
      <w:r>
        <w:rPr>
          <w:rFonts w:ascii="Times New Roman" w:hAnsi="Times New Roman"/>
          <w:b/>
          <w:i w:val="false"/>
          <w:color w:val="000000"/>
          <w:sz w:val="22"/>
        </w:rPr>
        <w:t xml:space="preserve">Procedure for processing applications. </w:t>
      </w:r>
      <w:r>
        <w:rPr>
          <w:rFonts w:ascii="Times New Roman" w:hAnsi="Times New Roman"/>
          <w:b w:val="false"/>
          <w:i w:val="false"/>
          <w:color w:val="000000"/>
          <w:sz w:val="22"/>
        </w:rPr>
        <w:t xml:space="preserve">The board executive will determine when the legal requirements for licensure have been satisfied with regard to issuance of certificates, licenses or registrations, and the board executive will submit to the board any questionable application. An applicant’s personal appearance before the board, if required, will be at the time and place designated by the board. Failure to supply additional evidence or information within 30 days from the date of the written request from the board, or failure to appear before the board when an appearance is requested, may be considered cause for disapproval of the application. Unless otherwise provided by law, a request for a rehearing before the board will be filed with the board in accordance with rule </w:t>
      </w:r>
      <w:hyperlink r:id="rId4">
        <w:r>
          <w:rPr>
            <w:rStyle w:val="Hyperlink"/>
            <w:rFonts w:ascii="Times New Roman" w:hAnsi="Times New Roman"/>
            <w:b w:val="false"/>
            <w:i w:val="false"/>
            <w:color w:val="000000"/>
            <w:sz w:val="22"/>
          </w:rPr>
          <w:t>481—506.26</w:t>
        </w:r>
      </w:hyperlink>
      <w:r>
        <w:rPr>
          <w:rFonts w:ascii="Times New Roman" w:hAnsi="Times New Roman"/>
          <w:b w:val="false"/>
          <w:i w:val="false"/>
          <w:color w:val="000000"/>
          <w:sz w:val="22"/>
        </w:rPr>
        <w:t xml:space="preserve">(17A). A judicial review can be filed in accordance with Iowa Code section </w:t>
      </w:r>
      <w:hyperlink r:id="rId5">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9155C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81.506.26.pdf" Type="http://schemas.openxmlformats.org/officeDocument/2006/relationships/hyperlink" Id="rId4"/>
    <Relationship TargetMode="External" Target="https://www.legis.iowa.gov/docs/ico/chapter/17A.19.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