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481—1082.1</w:t>
      </w:r>
      <w:r>
        <w:rPr>
          <w:rFonts w:ascii="Times New Roman" w:hAnsi="Times New Roman"/>
          <w:b/>
          <w:i w:val="false"/>
          <w:color w:val="000000"/>
          <w:sz w:val="22"/>
        </w:rPr>
        <w:t xml:space="preserve">(544B,17A) </w:t>
      </w:r>
      <w:r>
        <w:rPr>
          <w:rFonts w:ascii="Times New Roman" w:hAnsi="Times New Roman"/>
          <w:b/>
          <w:i w:val="false"/>
          <w:color w:val="000000"/>
          <w:sz w:val="22"/>
        </w:rPr>
        <w:t xml:space="preserve">Application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1082.1(1)</w:t>
      </w:r>
      <w:r>
        <w:rPr>
          <w:rFonts w:ascii="Times New Roman" w:hAnsi="Times New Roman"/>
          <w:b w:val="false"/>
          <w:i w:val="false"/>
          <w:color w:val="000000"/>
          <w:sz w:val="22"/>
        </w:rPr>
        <w:t> </w:t>
      </w:r>
      <w:r>
        <w:rPr>
          <w:rFonts w:ascii="Times New Roman" w:hAnsi="Times New Roman"/>
          <w:b w:val="false"/>
          <w:i w:val="false"/>
          <w:color w:val="000000"/>
          <w:sz w:val="22"/>
        </w:rPr>
        <w:t>Candidates will contact CLARB to start the examination licensure process by creating a council record. A candidate’s council record will include verified history of the candidate’s education, experience, examination and licensure history, and professional references and is used to apply for examination, licensure and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1082.1(2)</w:t>
      </w:r>
      <w:r>
        <w:rPr>
          <w:rFonts w:ascii="Times New Roman" w:hAnsi="Times New Roman"/>
          <w:b w:val="false"/>
          <w:i w:val="false"/>
          <w:color w:val="000000"/>
          <w:sz w:val="22"/>
        </w:rPr>
        <w:t> </w:t>
      </w:r>
      <w:r>
        <w:rPr>
          <w:rFonts w:ascii="Times New Roman" w:hAnsi="Times New Roman"/>
          <w:b w:val="false"/>
          <w:i w:val="false"/>
          <w:color w:val="000000"/>
          <w:sz w:val="22"/>
        </w:rPr>
        <w:t>The candidate who successfully completes the LARE will complete an online application for certificate of licensure to the board after meeting one of the requirements listed below and requesting that the candidate’s council record be transmitted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Graduation from a course in landscape architecture in a school, college, or university offering an accredited minimum four-year curriculum in landscape architecture, and a minimum of three years of practical experience in landscape architectural work that in the opinion of the board is of satisfactory character, at least one year of which must be under the supervision of a professional landscape architect or a person who becomes a professional landscape architect within one year after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Graduation from a nonaccredited course of landscape architecture of a minimum of four years in a school, college, or university and a minimum of four years of practical experience in landscape architectural work that in the opinion of the board is of satisfactory character, at least one year of which must be under the supervision of a professional landscape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minimum of ten years of practical experience in landscape architectural work that in the opinion of the board is of satisfactory character to properly prepare the applicant for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1082.1(3)</w:t>
      </w:r>
      <w:r>
        <w:rPr>
          <w:rFonts w:ascii="Times New Roman" w:hAnsi="Times New Roman"/>
          <w:b w:val="false"/>
          <w:i w:val="false"/>
          <w:color w:val="000000"/>
          <w:sz w:val="22"/>
        </w:rPr>
        <w:t> </w:t>
      </w:r>
      <w:r>
        <w:rPr>
          <w:rFonts w:ascii="Times New Roman" w:hAnsi="Times New Roman"/>
          <w:b w:val="false"/>
          <w:i w:val="false"/>
          <w:color w:val="000000"/>
          <w:sz w:val="22"/>
        </w:rPr>
        <w:t>A satisfactorily completed year of study in an accredited course of landscape architecture in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1082.1(4)</w:t>
      </w:r>
      <w:r>
        <w:rPr>
          <w:rFonts w:ascii="Times New Roman" w:hAnsi="Times New Roman"/>
          <w:b w:val="false"/>
          <w:i w:val="false"/>
          <w:color w:val="000000"/>
          <w:sz w:val="22"/>
        </w:rPr>
        <w:t> </w:t>
      </w:r>
      <w:r>
        <w:rPr>
          <w:rFonts w:ascii="Times New Roman" w:hAnsi="Times New Roman"/>
          <w:b w:val="false"/>
          <w:i w:val="false"/>
          <w:color w:val="000000"/>
          <w:sz w:val="22"/>
        </w:rPr>
        <w:t>A master’s degree from an accredited school, college, or university may be accepted in lieu of one year of practical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1082.1(5)</w:t>
      </w:r>
      <w:r>
        <w:rPr>
          <w:rFonts w:ascii="Times New Roman" w:hAnsi="Times New Roman"/>
          <w:b w:val="false"/>
          <w:i w:val="false"/>
          <w:color w:val="000000"/>
          <w:sz w:val="22"/>
        </w:rPr>
        <w:t> </w:t>
      </w:r>
      <w:r>
        <w:rPr>
          <w:rFonts w:ascii="Times New Roman" w:hAnsi="Times New Roman"/>
          <w:b w:val="false"/>
          <w:i w:val="false"/>
          <w:color w:val="000000"/>
          <w:sz w:val="22"/>
        </w:rPr>
        <w:t>Any four-year college or university degree may be accepted in lieu of two years of practical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9155C</w:t>
      </w:r>
      <w:r>
        <w:rPr>
          <w:rFonts w:ascii="Times New Roman" w:hAnsi="Times New Roman"/>
          <w:b w:val="false"/>
          <w:i w:val="false"/>
          <w:color w:val="000000"/>
          <w:sz w:val="16"/>
        </w:rPr>
        <w:t>, IAB 4/30/25, effective 6/4/25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