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481—1081.2</w:t>
      </w:r>
      <w:r>
        <w:rPr>
          <w:rFonts w:ascii="Times New Roman" w:hAnsi="Times New Roman"/>
          <w:b/>
          <w:i w:val="false"/>
          <w:color w:val="000000"/>
          <w:sz w:val="22"/>
        </w:rPr>
        <w:t xml:space="preserve">(544B,17A) </w:t>
      </w:r>
      <w:r>
        <w:rPr>
          <w:rFonts w:ascii="Times New Roman" w:hAnsi="Times New Roman"/>
          <w:b/>
          <w:i w:val="false"/>
          <w:color w:val="000000"/>
          <w:sz w:val="22"/>
        </w:rPr>
        <w:t xml:space="preserve">Organization and duties. </w:t>
      </w:r>
      <w:r>
        <w:rPr>
          <w:rFonts w:ascii="Times New Roman" w:hAnsi="Times New Roman"/>
          <w:b w:val="false"/>
          <w:i w:val="false"/>
          <w:color w:val="000000"/>
          <w:sz w:val="22"/>
        </w:rPr>
        <w:t>The board consists of five licensed professional landscape architects and two members who are not licensed professional landscape architects and who represent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of professional landscape architect board members. </w:t>
      </w:r>
      <w:r>
        <w:rPr>
          <w:rFonts w:ascii="Times New Roman" w:hAnsi="Times New Roman"/>
          <w:b w:val="false"/>
          <w:i w:val="false"/>
          <w:color w:val="000000"/>
          <w:sz w:val="22"/>
        </w:rPr>
        <w:t>Four of the five professional members will be actively engaged in the practice of landscape architecture or the teaching of landscape architecture in an accredited college or university and shall have been so engaged for five years preceding appointment, the last two of which shall have been in Iowa. One of the five professional members will be actively engaged in the practice of landscape architecture or the teaching of landscape architecture in an accredited college or university and may have been so engaged for fewer than five years preceding.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1081.2(2)</w:t>
      </w:r>
      <w:r>
        <w:rPr>
          <w:rFonts w:ascii="Times New Roman" w:hAnsi="Times New Roman"/>
          <w:b w:val="false"/>
          <w:i w:val="false"/>
          <w:color w:val="000000"/>
          <w:sz w:val="22"/>
        </w:rPr>
        <w:t> </w:t>
      </w:r>
      <w:r>
        <w:rPr>
          <w:rFonts w:ascii="Times New Roman" w:hAnsi="Times New Roman"/>
          <w:b w:val="false"/>
          <w:i/>
          <w:color w:val="000000"/>
          <w:sz w:val="22"/>
        </w:rPr>
        <w:t xml:space="preserve">Election of chairperson and vice chairperson. </w:t>
      </w:r>
      <w:r>
        <w:rPr>
          <w:rFonts w:ascii="Times New Roman" w:hAnsi="Times New Roman"/>
          <w:b w:val="false"/>
          <w:i w:val="false"/>
          <w:color w:val="000000"/>
          <w:sz w:val="22"/>
        </w:rPr>
        <w:t>The board elects annually from its members a chairperson and a vice chairperson. A quorum of the board will be four members, and all final motions and actions must receive a vote by a majority of the members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1081.2(3)</w:t>
      </w:r>
      <w:r>
        <w:rPr>
          <w:rFonts w:ascii="Times New Roman" w:hAnsi="Times New Roman"/>
          <w:b w:val="false"/>
          <w:i w:val="false"/>
          <w:color w:val="000000"/>
          <w:sz w:val="22"/>
        </w:rPr>
        <w:t> </w:t>
      </w:r>
      <w:r>
        <w:rPr>
          <w:rFonts w:ascii="Times New Roman" w:hAnsi="Times New Roman"/>
          <w:b w:val="false"/>
          <w:i/>
          <w:color w:val="000000"/>
          <w:sz w:val="22"/>
        </w:rPr>
        <w:t xml:space="preserve">Duties of board. </w:t>
      </w:r>
      <w:r>
        <w:rPr>
          <w:rFonts w:ascii="Times New Roman" w:hAnsi="Times New Roman"/>
          <w:b w:val="false"/>
          <w:i w:val="false"/>
          <w:color w:val="000000"/>
          <w:sz w:val="22"/>
        </w:rPr>
        <w:t xml:space="preserve">The board enforces the provisions of Iowa Code chapter </w:t>
      </w:r>
      <w:hyperlink r:id="rId4">
        <w:r>
          <w:rPr>
            <w:rStyle w:val="Hyperlink"/>
            <w:rFonts w:ascii="Times New Roman" w:hAnsi="Times New Roman"/>
            <w:b w:val="false"/>
            <w:i w:val="false"/>
            <w:color w:val="000000"/>
            <w:sz w:val="22"/>
          </w:rPr>
          <w:t>544B</w:t>
        </w:r>
      </w:hyperlink>
      <w:r>
        <w:rPr>
          <w:rFonts w:ascii="Times New Roman" w:hAnsi="Times New Roman"/>
          <w:b w:val="false"/>
          <w:i w:val="false"/>
          <w:color w:val="000000"/>
          <w:sz w:val="22"/>
        </w:rPr>
        <w:t xml:space="preserve"> and makes rules for the examination of applications for licensure. The board keeps records of its proceedings. The board adopts an official seal that is affixed to all certificates of licensure granted. The board makes other rules, not inconsistent with law, as necessary for the proper performance of its duties. The board maintains a roster showing the name, place of business, residence, and date and number of the certificate of licensure of every professional landscape architect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1081.2(4)</w:t>
      </w:r>
      <w:r>
        <w:rPr>
          <w:rFonts w:ascii="Times New Roman" w:hAnsi="Times New Roman"/>
          <w:b w:val="false"/>
          <w:i w:val="false"/>
          <w:color w:val="000000"/>
          <w:sz w:val="22"/>
        </w:rPr>
        <w:t> </w:t>
      </w:r>
      <w:r>
        <w:rPr>
          <w:rFonts w:ascii="Times New Roman" w:hAnsi="Times New Roman"/>
          <w:b w:val="false"/>
          <w:i/>
          <w:color w:val="000000"/>
          <w:sz w:val="22"/>
        </w:rPr>
        <w:t xml:space="preserve">Duties of chairperson. </w:t>
      </w:r>
      <w:r>
        <w:rPr>
          <w:rFonts w:ascii="Times New Roman" w:hAnsi="Times New Roman"/>
          <w:b w:val="false"/>
          <w:i w:val="false"/>
          <w:color w:val="000000"/>
          <w:sz w:val="22"/>
        </w:rPr>
        <w:t>The chairperson will, when present, preside at meetings, appoint committees, and perform all duties and powers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1081.2(5)</w:t>
      </w:r>
      <w:r>
        <w:rPr>
          <w:rFonts w:ascii="Times New Roman" w:hAnsi="Times New Roman"/>
          <w:b w:val="false"/>
          <w:i w:val="false"/>
          <w:color w:val="000000"/>
          <w:sz w:val="22"/>
        </w:rPr>
        <w:t> </w:t>
      </w:r>
      <w:r>
        <w:rPr>
          <w:rFonts w:ascii="Times New Roman" w:hAnsi="Times New Roman"/>
          <w:b w:val="false"/>
          <w:i/>
          <w:color w:val="000000"/>
          <w:sz w:val="22"/>
        </w:rPr>
        <w:t xml:space="preserve">Duties of vice chairperson. </w:t>
      </w:r>
      <w:r>
        <w:rPr>
          <w:rFonts w:ascii="Times New Roman" w:hAnsi="Times New Roman"/>
          <w:b w:val="false"/>
          <w:i w:val="false"/>
          <w:color w:val="000000"/>
          <w:sz w:val="22"/>
        </w:rPr>
        <w:t>The vice chairperson will, in the absence or incapacity of the chairperson, exercise the duties and powers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9154C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4B.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