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481—1081.1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of words and terms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landscape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“CLARB”</w:t>
      </w:r>
      <w:r>
        <w:rPr>
          <w:rFonts w:ascii="Times New Roman" w:hAnsi="Times New Roman"/>
          <w:b w:val="false"/>
          <w:i w:val="false"/>
          <w:color w:val="000000"/>
          <w:sz w:val="22"/>
        </w:rPr>
        <w:t> </w:t>
      </w:r>
      <w:r>
        <w:rPr>
          <w:rFonts w:ascii="Times New Roman" w:hAnsi="Times New Roman"/>
          <w:b w:val="false"/>
          <w:i w:val="false"/>
          <w:color w:val="000000"/>
          <w:sz w:val="22"/>
        </w:rPr>
        <w:t>means the Council of Landscape Architectural Registration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“Evidence”</w:t>
      </w:r>
      <w:r>
        <w:rPr>
          <w:rFonts w:ascii="Times New Roman" w:hAnsi="Times New Roman"/>
          <w:b w:val="false"/>
          <w:i w:val="false"/>
          <w:color w:val="000000"/>
          <w:sz w:val="22"/>
        </w:rPr>
        <w:t> </w:t>
      </w:r>
      <w:r>
        <w:rPr>
          <w:rFonts w:ascii="Times New Roman" w:hAnsi="Times New Roman"/>
          <w:b w:val="false"/>
          <w:i w:val="false"/>
          <w:color w:val="000000"/>
          <w:sz w:val="22"/>
        </w:rPr>
        <w:t>means any document or record of any kind of drawings, specifications, photographs, diplomas, licensee statements, published data and certified personal statements as may be required as a part of any action on the part of the board. Each item of evidence shall be clearly marked to ensure positive and certain identification. It is the responsibility of the applicant to satisfy the board as to the sufficiency of the record and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w:t>
      </w:r>
      <w:r>
        <w:rPr>
          <w:rFonts w:ascii="Times New Roman" w:hAnsi="Times New Roman"/>
          <w:b w:val="false"/>
          <w:i w:val="false"/>
          <w:color w:val="000000"/>
          <w:sz w:val="22"/>
        </w:rPr>
        <w:t> </w:t>
      </w:r>
      <w:r>
        <w:rPr>
          <w:rFonts w:ascii="Times New Roman" w:hAnsi="Times New Roman"/>
          <w:b w:val="false"/>
          <w:i w:val="false"/>
          <w:color w:val="000000"/>
          <w:sz w:val="22"/>
        </w:rPr>
        <w:t>means that a landscape architect is not engaged in Iowa in any practice for which a certificate of licensure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 landscape architect”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not licensed and has a degree in landscape architecture and is employed under the direct supervision of a professional landscape architect. The initials “I.L.A.” should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“LARE”</w:t>
      </w:r>
      <w:r>
        <w:rPr>
          <w:rFonts w:ascii="Times New Roman" w:hAnsi="Times New Roman"/>
          <w:b w:val="false"/>
          <w:i w:val="false"/>
          <w:color w:val="000000"/>
          <w:sz w:val="22"/>
        </w:rPr>
        <w:t> </w:t>
      </w:r>
      <w:r>
        <w:rPr>
          <w:rFonts w:ascii="Times New Roman" w:hAnsi="Times New Roman"/>
          <w:b w:val="false"/>
          <w:i w:val="false"/>
          <w:color w:val="000000"/>
          <w:sz w:val="22"/>
        </w:rPr>
        <w:t>means the Landscape Architecture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landscape architecture”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performance of professional service or offering to render professional services to clients, including any one or any combination of the professional services defined in Iowa Code section </w:t>
      </w:r>
      <w:hyperlink r:id="rId4">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landscape architect”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obtains a license and engages in the practice of landscape architecture under the authority of Iowa Code chapter </w:t>
      </w:r>
      <w:hyperlink r:id="rId5">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For the purposes of these rules, a professional landscape architect may be referred to as a landscape architect and may use the initials “P.L.A.”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“Years of practical experience”</w:t>
      </w:r>
      <w:r>
        <w:rPr>
          <w:rFonts w:ascii="Times New Roman" w:hAnsi="Times New Roman"/>
          <w:b w:val="false"/>
          <w:i w:val="false"/>
          <w:color w:val="000000"/>
          <w:sz w:val="22"/>
        </w:rPr>
        <w:t> </w:t>
      </w:r>
      <w:r>
        <w:rPr>
          <w:rFonts w:ascii="Times New Roman" w:hAnsi="Times New Roman"/>
          <w:b w:val="false"/>
          <w:i w:val="false"/>
          <w:color w:val="000000"/>
          <w:sz w:val="22"/>
        </w:rPr>
        <w:t>means, for each year of practical experience the applicant has worked performing landscape architectural services, a minimum of 2,080 hours per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B.1.pdf" Type="http://schemas.openxmlformats.org/officeDocument/2006/relationships/hyperlink" Id="rId4"/>
    <Relationship TargetMode="External" Target="https://www.legis.iowa.gov/docs/ico/chapter/544B.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