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1040.7(1)</w:t>
      </w:r>
      <w:r>
        <w:rPr>
          <w:rFonts w:ascii="Times New Roman" w:hAnsi="Times New Roman"/>
          <w:b w:val="false"/>
          <w:i w:val="false"/>
          <w:color w:val="000000"/>
          <w:sz w:val="22"/>
        </w:rPr>
        <w:t> </w:t>
      </w:r>
      <w:r>
        <w:rPr>
          <w:rFonts w:ascii="Times New Roman" w:hAnsi="Times New Roman"/>
          <w:b w:val="false"/>
          <w:i w:val="false"/>
          <w:color w:val="000000"/>
          <w:sz w:val="22"/>
        </w:rPr>
        <w:t xml:space="preserve">Firms purporting to practice public accounting under a practice privilege that are ineligible to exercise a practice privilege or that fail to satisfy the conditions for exercising a practice privilege are subject to all of the penalties that apply to unlicensed firms, including the criminal, administrative, and civil penalties described in Iowa Code sections </w:t>
      </w:r>
      <w:hyperlink r:id="rId4">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firm acting or purporting to act under a practice privilege engages in any act or practice that does or may in the future violate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7">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mandating compliance with Iowa Code chapter </w:t>
      </w:r>
      <w:hyperlink r:id="rId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to the extent responsible for the violation, any of the firm’s owners (e.g., partners, shareholders, or members), pursuant to Iowa Code section </w:t>
      </w:r>
      <w:hyperlink r:id="rId10">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a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firm or, to the extent responsible for the violation, any of the firm’s owners (e.g., partners, shareholders, or members), pursuant to Iowa Code section </w:t>
      </w:r>
      <w:hyperlink r:id="rId1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if the firm or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firms that are not licensed by the board, including those acting or purporting to act under a practice privilege, are not confidential under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firms acting or purporting to act under a practice privilege should provide as much information as possible to assist the board in locating the firm and the individuals allegedly responsible for the acts or omissions causing the complaint, and in determining whether the firm or any responsible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14.pdf" Type="http://schemas.openxmlformats.org/officeDocument/2006/relationships/hyperlink" Id="rId4"/>
    <Relationship TargetMode="External" Target="https://www.legis.iowa.gov/docs/ico/chapter/542.15.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14.pdf" Type="http://schemas.openxmlformats.org/officeDocument/2006/relationships/hyperlink" Id="rId7"/>
    <Relationship TargetMode="External" Target="https://www.legis.iowa.gov/docs/ico/chapter/542.pdf" Type="http://schemas.openxmlformats.org/officeDocument/2006/relationships/hyperlink" Id="rId8"/>
    <Relationship TargetMode="External" Target="https://www.legis.iowa.gov/docs/ico/chapter/542.14.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10.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