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481—1040.4</w:t>
      </w:r>
      <w:r>
        <w:rPr>
          <w:rFonts w:ascii="Times New Roman" w:hAnsi="Times New Roman"/>
          <w:b/>
          <w:i w:val="false"/>
          <w:color w:val="000000"/>
          <w:sz w:val="22"/>
        </w:rPr>
        <w:t xml:space="preserve">(542) </w:t>
      </w:r>
      <w:r>
        <w:rPr>
          <w:rFonts w:ascii="Times New Roman" w:hAnsi="Times New Roman"/>
          <w:b/>
          <w:i w:val="false"/>
          <w:color w:val="000000"/>
          <w:sz w:val="22"/>
        </w:rPr>
        <w:t xml:space="preserve">CPA firms, revocation of practice privilege.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revoke the practice privilege in accordance with Iowa Code section </w:t>
      </w:r>
      <w:hyperlink r:id="rId4">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1040.4(2)</w:t>
      </w:r>
      <w:r>
        <w:rPr>
          <w:rFonts w:ascii="Times New Roman" w:hAnsi="Times New Roman"/>
          <w:b w:val="false"/>
          <w:i w:val="false"/>
          <w:color w:val="000000"/>
          <w:sz w:val="22"/>
        </w:rPr>
        <w:t> </w:t>
      </w:r>
      <w:r>
        <w:rPr>
          <w:rFonts w:ascii="Times New Roman" w:hAnsi="Times New Roman"/>
          <w:b w:val="false"/>
          <w:i w:val="false"/>
          <w:color w:val="000000"/>
          <w:sz w:val="22"/>
        </w:rPr>
        <w:t>Firms precluded from exercising a practice privilege under this rule may apply for licensure in Iowa if otherwise qualified. The board will determine when an application is submitted whether the criminal or disciplinary history or other regulatory action against the firm or against any of the firm’s owners (e.g., partners, shareholders, or members) provides a ground to deny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2.20.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