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481—1039.4</w:t>
      </w:r>
      <w:r>
        <w:rPr>
          <w:rFonts w:ascii="Times New Roman" w:hAnsi="Times New Roman"/>
          <w:b/>
          <w:i w:val="false"/>
          <w:color w:val="000000"/>
          <w:sz w:val="22"/>
        </w:rPr>
        <w:t xml:space="preserve">(542) </w:t>
      </w:r>
      <w:r>
        <w:rPr>
          <w:rFonts w:ascii="Times New Roman" w:hAnsi="Times New Roman"/>
          <w:b/>
          <w:i w:val="false"/>
          <w:color w:val="000000"/>
          <w:sz w:val="22"/>
        </w:rPr>
        <w:t xml:space="preserve">Individuals ineligible for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practice privilege described in Iowa Code section </w:t>
      </w:r>
      <w:hyperlink r:id="rId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is not applicable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has been convicted of a felony under the laws of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been convicted of any crime under the laws of any jurisdiction if an element of the crime involves dishonesty or fraud, such as forgery, embezzlement, obtaining money under false pretenses, theft, extortion, conspiracy to defraud, or similar offense, as more fully described in Iowa Code section </w:t>
      </w:r>
      <w:hyperlink r:id="rId5">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license to practice public accounting has been suspended, revoked, or otherwise disciplined by a licensing authority in this or another state, territory, or country, for any cause other than failure to pay appropriate fees. “Disciplined” includes the voluntary surrender of a license to resolve a pending disciplinary investigation or proceeding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individual’s right to practice public accounting before any state or federal agency, or the PCAOB,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has applied for licensure as a certified public accountant in Iowa or another jurisdiction and the application has been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penalties have been imposed against the individual pursuant to Iowa Code section </w:t>
      </w:r>
      <w:hyperlink r:id="rId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individual’s authority to exercise a practice privilege has been revoked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1039.4(2)</w:t>
      </w:r>
      <w:r>
        <w:rPr>
          <w:rFonts w:ascii="Times New Roman" w:hAnsi="Times New Roman"/>
          <w:b w:val="false"/>
          <w:i w:val="false"/>
          <w:color w:val="000000"/>
          <w:sz w:val="22"/>
        </w:rPr>
        <w:t> </w:t>
      </w:r>
      <w:r>
        <w:rPr>
          <w:rFonts w:ascii="Times New Roman" w:hAnsi="Times New Roman"/>
          <w:b w:val="false"/>
          <w:i w:val="false"/>
          <w:color w:val="000000"/>
          <w:sz w:val="22"/>
        </w:rPr>
        <w:t>Individuals precluded from exercising a practice privilege under this rule may apply for licensure in Iowa if otherwise qualified. The board will determine when an application is submitted whether the criminal or disciplinary history or other regulatory action provides a ground to deny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20.pdf" Type="http://schemas.openxmlformats.org/officeDocument/2006/relationships/hyperlink" Id="rId4"/>
    <Relationship TargetMode="External" Target="https://www.legis.iowa.gov/docs/ico/chapter/542.5.pdf" Type="http://schemas.openxmlformats.org/officeDocument/2006/relationships/hyperlink" Id="rId5"/>
    <Relationship TargetMode="External" Target="https://www.legis.iowa.gov/docs/ico/chapter/542.1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