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481—1039.2</w:t>
      </w:r>
      <w:r>
        <w:rPr>
          <w:rFonts w:ascii="Times New Roman" w:hAnsi="Times New Roman"/>
          <w:b/>
          <w:i w:val="false"/>
          <w:color w:val="000000"/>
          <w:sz w:val="22"/>
        </w:rPr>
        <w:t xml:space="preserve">(542) </w:t>
      </w:r>
      <w:r>
        <w:rPr>
          <w:rFonts w:ascii="Times New Roman" w:hAnsi="Times New Roman"/>
          <w:b/>
          <w:i w:val="false"/>
          <w:color w:val="000000"/>
          <w:sz w:val="22"/>
        </w:rPr>
        <w:t xml:space="preserve">Out-of-state licensure status. </w:t>
      </w:r>
      <w:r>
        <w:rPr>
          <w:rFonts w:ascii="Times New Roman" w:hAnsi="Times New Roman"/>
          <w:b w:val="false"/>
          <w:i w:val="false"/>
          <w:color w:val="000000"/>
          <w:sz w:val="22"/>
        </w:rPr>
        <w:t xml:space="preserve">The practice privilege described in Iowa Code section </w:t>
      </w:r>
      <w:hyperlink r:id="rId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applies to individuals who are licensed to practice as certified public accountants in the jurisdiction in which their principal place of business is located for those periods of time in which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1039.2(1)</w:t>
      </w:r>
      <w:r>
        <w:rPr>
          <w:rFonts w:ascii="Times New Roman" w:hAnsi="Times New Roman"/>
          <w:b w:val="false"/>
          <w:i w:val="false"/>
          <w:color w:val="000000"/>
          <w:sz w:val="22"/>
        </w:rPr>
        <w:t> </w:t>
      </w:r>
      <w:r>
        <w:rPr>
          <w:rFonts w:ascii="Times New Roman" w:hAnsi="Times New Roman"/>
          <w:b w:val="false"/>
          <w:i w:val="false"/>
          <w:color w:val="000000"/>
          <w:sz w:val="22"/>
        </w:rPr>
        <w:t>The out-of-state license is valid, in good standing, and active. The practice privilege ceases if the out-of-state license expires in the jurisdiction of the individual’s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meets the criteria for substantial equivalency reciprocity, as provided in Iowa Code section </w:t>
      </w:r>
      <w:hyperlink r:id="rId5">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481—1029.5</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1039.2(3)</w:t>
      </w:r>
      <w:r>
        <w:rPr>
          <w:rFonts w:ascii="Times New Roman" w:hAnsi="Times New Roman"/>
          <w:b w:val="false"/>
          <w:i w:val="false"/>
          <w:color w:val="000000"/>
          <w:sz w:val="22"/>
        </w:rPr>
        <w:t> </w:t>
      </w:r>
      <w:r>
        <w:rPr>
          <w:rFonts w:ascii="Times New Roman" w:hAnsi="Times New Roman"/>
          <w:b w:val="false"/>
          <w:i w:val="false"/>
          <w:color w:val="000000"/>
          <w:sz w:val="22"/>
        </w:rPr>
        <w:t>The license authorizes in the individual’s principal place of business all of the public accounting services the individual performs or offers to perform in Iowa or for clients with a home office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20.pdf" Type="http://schemas.openxmlformats.org/officeDocument/2006/relationships/hyperlink" Id="rId4"/>
    <Relationship TargetMode="External" Target="https://www.legis.iowa.gov/docs/ico/chapter/542.19.pdf" Type="http://schemas.openxmlformats.org/officeDocument/2006/relationships/hyperlink" Id="rId5"/>
    <Relationship TargetMode="External" Target="https://www.legis.iowa.gov/docs/iac/rule/481.1029.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