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481—1038.2</w:t>
      </w:r>
      <w:r>
        <w:rPr>
          <w:rFonts w:ascii="Times New Roman" w:hAnsi="Times New Roman"/>
          <w:b/>
          <w:i w:val="false"/>
          <w:color w:val="000000"/>
          <w:sz w:val="22"/>
        </w:rPr>
        <w:t xml:space="preserve">(272C,542) </w:t>
      </w:r>
      <w:r>
        <w:rPr>
          <w:rFonts w:ascii="Times New Roman" w:hAnsi="Times New Roman"/>
          <w:b/>
          <w:i w:val="false"/>
          <w:color w:val="000000"/>
          <w:sz w:val="22"/>
        </w:rPr>
        <w:t xml:space="preserve">Reporting judgments and settlements alleging malpractice.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1038.2(1)</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Licensees have a duty to report under Iowa Code section </w:t>
      </w:r>
      <w:hyperlink r:id="rId4">
        <w:r>
          <w:rPr>
            <w:rStyle w:val="Hyperlink"/>
            <w:rFonts w:ascii="Times New Roman" w:hAnsi="Times New Roman"/>
            <w:b w:val="false"/>
            <w:i w:val="false"/>
            <w:color w:val="000000"/>
            <w:sz w:val="22"/>
          </w:rPr>
          <w:t>272C.9(3)</w:t>
        </w:r>
      </w:hyperlink>
      <w:r>
        <w:rPr>
          <w:rFonts w:ascii="Times New Roman" w:hAnsi="Times New Roman"/>
          <w:b w:val="false"/>
          <w:i w:val="false"/>
          <w:color w:val="000000"/>
          <w:sz w:val="22"/>
        </w:rPr>
        <w:t>. For the purposes of this rule, malpractice actions brought against a firm licensed by the board will be deemed to have been brought against both the firm and the firm’s owners (e.g., partners, shareholders, or members) who performed the services that led to the malpractice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1038.2(2)</w:t>
      </w:r>
      <w:r>
        <w:rPr>
          <w:rFonts w:ascii="Times New Roman" w:hAnsi="Times New Roman"/>
          <w:b w:val="false"/>
          <w:i w:val="false"/>
          <w:color w:val="000000"/>
          <w:sz w:val="22"/>
        </w:rPr>
        <w:t> </w:t>
      </w:r>
      <w:r>
        <w:rPr>
          <w:rFonts w:ascii="Times New Roman" w:hAnsi="Times New Roman"/>
          <w:b w:val="false"/>
          <w:i w:val="false"/>
          <w:color w:val="000000"/>
          <w:sz w:val="22"/>
        </w:rPr>
        <w:t>When a licensee is a party to an adverse judgment resulting from a professional malpractice action or is a party to a settlement of a claim resulting from an allegation of malpractice, the licensee has an obligation to file a report in writing forwarded to the board office, setting forth the name and address of the client, the date the claim was originally made, a brief description of the circumstances precipitating the claim and a copy of the judgment or settlement agreement resulting from the claim.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7694C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72C.9.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