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481—1038.1</w:t>
      </w:r>
      <w:r>
        <w:rPr>
          <w:rFonts w:ascii="Times New Roman" w:hAnsi="Times New Roman"/>
          <w:b/>
          <w:i w:val="false"/>
          <w:color w:val="000000"/>
          <w:sz w:val="22"/>
        </w:rPr>
        <w:t xml:space="preserve">(272C,542) </w:t>
      </w:r>
      <w:r>
        <w:rPr>
          <w:rFonts w:ascii="Times New Roman" w:hAnsi="Times New Roman"/>
          <w:b/>
          <w:i w:val="false"/>
          <w:color w:val="000000"/>
          <w:sz w:val="22"/>
        </w:rPr>
        <w:t xml:space="preserve">Reporting acts or omissions committed by licensees.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1038.1(1)</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or firm licensed by the board has a duty to report under Iowa Code section </w:t>
      </w:r>
      <w:hyperlink r:id="rId4">
        <w:r>
          <w:rPr>
            <w:rStyle w:val="Hyperlink"/>
            <w:rFonts w:ascii="Times New Roman" w:hAnsi="Times New Roman"/>
            <w:b w:val="false"/>
            <w:i w:val="false"/>
            <w:color w:val="000000"/>
            <w:sz w:val="22"/>
          </w:rPr>
          <w:t>272C.9(2)</w:t>
        </w:r>
      </w:hyperlink>
      <w:r>
        <w:rPr>
          <w:rFonts w:ascii="Times New Roman" w:hAnsi="Times New Roman"/>
          <w:b w:val="false"/>
          <w:i w:val="false"/>
          <w:color w:val="000000"/>
          <w:sz w:val="22"/>
        </w:rPr>
        <w:t xml:space="preserve">. The failure to perform an engagement for a client in accordance with professional standards may demonstrate a lack of qualifications by a licensee or firm. These professional standards are set forth in </w:t>
      </w:r>
      <w:hyperlink r:id="rId5">
        <w:r>
          <w:rPr>
            <w:rStyle w:val="Hyperlink"/>
            <w:rFonts w:ascii="Times New Roman" w:hAnsi="Times New Roman"/>
            <w:b w:val="false"/>
            <w:i w:val="false"/>
            <w:color w:val="000000"/>
            <w:sz w:val="22"/>
          </w:rPr>
          <w:t>481—Chapter 1033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1038.1(2)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licensee observes an act or omission referenced in subrule </w:t>
      </w:r>
      <w:hyperlink r:id="rId6">
        <w:r>
          <w:rPr>
            <w:rStyle w:val="Hyperlink"/>
            <w:rFonts w:ascii="Times New Roman" w:hAnsi="Times New Roman"/>
            <w:b w:val="false"/>
            <w:i w:val="false"/>
            <w:color w:val="000000"/>
            <w:sz w:val="22"/>
          </w:rPr>
          <w:t>1038.1(1)</w:t>
        </w:r>
      </w:hyperlink>
      <w:r>
        <w:rPr>
          <w:rFonts w:ascii="Times New Roman" w:hAnsi="Times New Roman"/>
          <w:b w:val="false"/>
          <w:i w:val="false"/>
          <w:color w:val="000000"/>
          <w:sz w:val="22"/>
        </w:rPr>
        <w:t>, the licensee is obligated to report the violation in writing to the board office, setting forth the name of the licensee alleged to have committed the violation and the rule(s) violated, together with a copy of all material that evidences the violation.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9.pdf" Type="http://schemas.openxmlformats.org/officeDocument/2006/relationships/hyperlink" Id="rId4"/>
    <Relationship TargetMode="External" Target="https://www.legis.iowa.gov/docs/iac/chapter/481.1033.pdf" Type="http://schemas.openxmlformats.org/officeDocument/2006/relationships/hyperlink" Id="rId5"/>
    <Relationship TargetMode="External" Target="https://www.legis.iowa.gov/docs/iac/rule/481.1038.1.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