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481—1037.4</w:t>
      </w:r>
      <w:r>
        <w:rPr>
          <w:rFonts w:ascii="Times New Roman" w:hAnsi="Times New Roman"/>
          <w:b/>
          <w:i w:val="false"/>
          <w:color w:val="000000"/>
          <w:sz w:val="22"/>
        </w:rPr>
        <w:t xml:space="preserve">(17A,542)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1037.4(1)</w:t>
      </w:r>
      <w:r>
        <w:rPr>
          <w:rFonts w:ascii="Times New Roman" w:hAnsi="Times New Roman"/>
          <w:b w:val="false"/>
          <w:i w:val="false"/>
          <w:color w:val="000000"/>
          <w:sz w:val="22"/>
        </w:rPr>
        <w:t> </w:t>
      </w:r>
      <w:r>
        <w:rPr>
          <w:rFonts w:ascii="Times New Roman" w:hAnsi="Times New Roman"/>
          <w:b w:val="false"/>
          <w:i w:val="false"/>
          <w:color w:val="000000"/>
          <w:sz w:val="22"/>
        </w:rPr>
        <w:t>Nonlicensees have 30 days to request a hearing. The 30-day time frame begins on the date the notice is mailed if served through certified mail to the last-known address, or 30 days from the date of service if service is accepted or made in accordance with Iowa Rule of Civil Procedure 1.305. A request for hearing has to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revoking the practice privilege, and requiring compliance with Iowa Code chapter </w:t>
      </w:r>
      <w:hyperlink r:id="rId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revoking the practice privilege, and requiring compliance with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2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