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481—1037.3</w:t>
      </w:r>
      <w:r>
        <w:rPr>
          <w:rFonts w:ascii="Times New Roman" w:hAnsi="Times New Roman"/>
          <w:b/>
          <w:i w:val="false"/>
          <w:color w:val="000000"/>
          <w:sz w:val="22"/>
        </w:rPr>
        <w:t xml:space="preserve">(17A,542) </w:t>
      </w:r>
      <w:r>
        <w:rPr>
          <w:rFonts w:ascii="Times New Roman" w:hAnsi="Times New Roman"/>
          <w:b/>
          <w:i w:val="false"/>
          <w:color w:val="000000"/>
          <w:sz w:val="22"/>
        </w:rPr>
        <w:t xml:space="preserve">Notice of intent to impose civil penalties. </w:t>
      </w:r>
      <w:r>
        <w:rPr>
          <w:rFonts w:ascii="Times New Roman" w:hAnsi="Times New Roman"/>
          <w:b w:val="false"/>
          <w:i w:val="false"/>
          <w:color w:val="000000"/>
          <w:sz w:val="22"/>
        </w:rPr>
        <w:t xml:space="preserve">The notice of the board’s intent to issue an order to enforce compliance with Iowa Code chapter </w:t>
      </w:r>
      <w:hyperlink r:id="rId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to impose a civil penalty will be served upon the nonlicensee by certified mail, return receipt requested, or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the nature of the intended order to enforce compliance with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whether a practice privilege will be revoked.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nonlicensee’s right to a hearing and the time frame in which hearing can be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send a written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pdf" Type="http://schemas.openxmlformats.org/officeDocument/2006/relationships/hyperlink" Id="rId4"/>
    <Relationship TargetMode="External" Target="https://www.legis.iowa.gov/docs/ico/chapter/54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