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481—1036.3</w:t>
      </w:r>
      <w:r>
        <w:rPr>
          <w:rFonts w:ascii="Times New Roman" w:hAnsi="Times New Roman"/>
          <w:b/>
          <w:i w:val="false"/>
          <w:color w:val="000000"/>
          <w:sz w:val="22"/>
        </w:rPr>
        <w:t xml:space="preserve">(272C,542) </w:t>
      </w:r>
      <w:r>
        <w:rPr>
          <w:rFonts w:ascii="Times New Roman" w:hAnsi="Times New Roman"/>
          <w:b/>
          <w:i w:val="false"/>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1036.3(1)</w:t>
      </w:r>
      <w:r>
        <w:rPr>
          <w:rFonts w:ascii="Times New Roman" w:hAnsi="Times New Roman"/>
          <w:b w:val="false"/>
          <w:i w:val="false"/>
          <w:color w:val="000000"/>
          <w:sz w:val="22"/>
        </w:rPr>
        <w:t> </w:t>
      </w:r>
      <w:r>
        <w:rPr>
          <w:rFonts w:ascii="Times New Roman" w:hAnsi="Times New Roman"/>
          <w:b w:val="false"/>
          <w:i/>
          <w:color w:val="000000"/>
          <w:sz w:val="22"/>
        </w:rPr>
        <w:t xml:space="preserve">Type of sanctions. </w:t>
      </w:r>
      <w:r>
        <w:rPr>
          <w:rFonts w:ascii="Times New Roman" w:hAnsi="Times New Roman"/>
          <w:b w:val="false"/>
          <w:i w:val="false"/>
          <w:color w:val="000000"/>
          <w:sz w:val="22"/>
        </w:rPr>
        <w:t>The board has the authority to impose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Revoke a license issued by the board. In the event of a revocation, the licensee is not allowed to remain a member, partner or shareholder of a business entity if the law dictates that all members, partners or shareholders of such an entity be actively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Suspend a license issued by the board. A CPA or LPA who is under suspension will refrain, during the period of the suspension, from all facets of the ordinary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Revoke or suspend the privilege to engage in one or more areas of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As a condition to a period of probation, the board may impose terms and conditions deemed appropriate by the board, which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may order the licensee to undergo a quality review or desk review under the board’s supervision. The licensee will select, subject to approval by the board, a CPA, an LPA, or a firm of CPAs or LPAs. The review cost will be paid by the licensee. The board will be furnished a copy of the report issued by the reviewing party and may order remedial actions or education as a result of the report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order the licensee to enter into an agreement with a CPA, an LPA, or a firm of CPAs or LPAs to obtain a preissuance review of any audits, compilations, or reviews issued by the licensee or other public accounting services performed during the probationary period. The agreement will be preapproved by the board. The board may order the licensee to report regularly concerning the preissuance reviews conducted pursuant to the agreement. Any cost incurred in obtaining preissuance review will be paid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may order the licensee to undergo a substance abuse evaluation and such care and treatment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Specify that a designated amount of continuing education be taken in specific subjects and may specify the time period for completing these courses. The board may also specify whether that continuing education be in addition to the continuing education routinely necessary for license renewal. The board may also specify that additional continuing education be a condition for the termination of any suspension or reinstatement of a certificate, permit, license, or registration. The board may also specify that current reference materials be obtained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Obligate the licensee to undergo reexamination, using one or more parts of the CPA or LPA examination given to candidates for the CPA certificate or the LPA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pursuant to Iowa Code section </w:t>
      </w:r>
      <w:hyperlink r:id="rId4">
        <w:r>
          <w:rPr>
            <w:rStyle w:val="Hyperlink"/>
            <w:rFonts w:ascii="Times New Roman" w:hAnsi="Times New Roman"/>
            <w:b w:val="false"/>
            <w:i w:val="false"/>
            <w:color w:val="000000"/>
            <w:sz w:val="22"/>
          </w:rPr>
          <w:t>542.14(2)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Issue a reprimand.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Order the licensee to alter a professional practice or refrain from engaging in a particular act or practice in the future, notify clients of unlicensed or unprofessional conduct, or take such other remedial measures that are appropriate under the public interest and circumstances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Order such alternative discipline as is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1036.3(2)</w:t>
      </w:r>
      <w:r>
        <w:rPr>
          <w:rFonts w:ascii="Times New Roman" w:hAnsi="Times New Roman"/>
          <w:b w:val="false"/>
          <w:i w:val="false"/>
          <w:color w:val="000000"/>
          <w:sz w:val="22"/>
        </w:rPr>
        <w:t> </w:t>
      </w:r>
      <w:r>
        <w:rPr>
          <w:rFonts w:ascii="Times New Roman" w:hAnsi="Times New Roman"/>
          <w:b w:val="false"/>
          <w:i/>
          <w:color w:val="000000"/>
          <w:sz w:val="22"/>
        </w:rPr>
        <w:t xml:space="preserve">Imposing discipline. </w:t>
      </w:r>
      <w:r>
        <w:rPr>
          <w:rFonts w:ascii="Times New Roman" w:hAnsi="Times New Roman"/>
          <w:b w:val="false"/>
          <w:i w:val="false"/>
          <w:color w:val="000000"/>
          <w:sz w:val="22"/>
        </w:rPr>
        <w:t>Discipline may be imposed against a licensee only by the affirmative vote of a majority of the members of the board who are not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1036.3(3)</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w:t>
      </w:r>
      <w:r>
        <w:rPr>
          <w:rFonts w:ascii="Times New Roman" w:hAnsi="Times New Roman"/>
          <w:b w:val="false"/>
          <w:i w:val="false"/>
          <w:color w:val="000000"/>
          <w:sz w:val="22"/>
        </w:rPr>
        <w:t>The board may accept the voluntary surrender of a license to resolve a pending disciplinary contested case or pending disciplinary investigation. The board will not accept a voluntary surrender of a license to resolve a pending disciplinary investigation unless a statement of charges is filed along with the order accepting the voluntary surrender. Such a voluntary surrender is considered disciplinary action and will be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1036.3(4)</w:t>
      </w:r>
      <w:r>
        <w:rPr>
          <w:rFonts w:ascii="Times New Roman" w:hAnsi="Times New Roman"/>
          <w:b w:val="false"/>
          <w:i w:val="false"/>
          <w:color w:val="000000"/>
          <w:sz w:val="22"/>
        </w:rPr>
        <w:t> </w:t>
      </w:r>
      <w:r>
        <w:rPr>
          <w:rFonts w:ascii="Times New Roman" w:hAnsi="Times New Roman"/>
          <w:b w:val="false"/>
          <w:i/>
          <w:color w:val="000000"/>
          <w:sz w:val="22"/>
        </w:rPr>
        <w:t xml:space="preserve">Client notification. </w:t>
      </w:r>
      <w:r>
        <w:rPr>
          <w:rFonts w:ascii="Times New Roman" w:hAnsi="Times New Roman"/>
          <w:b w:val="false"/>
          <w:i w:val="false"/>
          <w:color w:val="000000"/>
          <w:sz w:val="22"/>
        </w:rPr>
        <w:t>Whenever a license is revoked, suspended, under probation, or voluntarily surrendered under this chapter, the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receipt of the board’s final order, notify in writing all clients of the fact that the license has been revoked, suspended or voluntarily surrendered or that the licensee is under probation and the subject of compliance terms imposed by the board; for example, the licensee may agree to discontinue governmental audits while the licensee’s license is under probation. Such notice will advise the client to obtain alternative professional services, unless probationary compliance terms at issue would not impact the public accounting services provided for that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receipt of the board’s final order, file with the board copies of the notices sent pursuant to paragraph </w:t>
      </w:r>
      <w:hyperlink r:id="rId5">
        <w:r>
          <w:rPr>
            <w:rStyle w:val="Hyperlink"/>
            <w:rFonts w:ascii="Times New Roman" w:hAnsi="Times New Roman"/>
            <w:b w:val="false"/>
            <w:i w:val="false"/>
            <w:color w:val="000000"/>
            <w:sz w:val="22"/>
          </w:rPr>
          <w:t>1036.3(4)</w:t>
        </w:r>
      </w:hyperlink>
      <w:r>
        <w:rPr>
          <w:rFonts w:ascii="Times New Roman" w:hAnsi="Times New Roman"/>
          <w:b w:val="false"/>
          <w:i/>
          <w:color w:val="000000"/>
          <w:sz w:val="22"/>
        </w:rPr>
        <w:t>“a.”</w:t>
      </w:r>
      <w:r>
        <w:rPr>
          <w:rFonts w:ascii="Times New Roman" w:hAnsi="Times New Roman"/>
          <w:b w:val="false"/>
          <w:i w:val="false"/>
          <w:color w:val="000000"/>
          <w:sz w:val="22"/>
        </w:rPr>
        <w:t xml:space="preserve"> Compliance with this paragraph is a condition precedent for an application for reinstatement.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14.pdf" Type="http://schemas.openxmlformats.org/officeDocument/2006/relationships/hyperlink" Id="rId4"/>
    <Relationship TargetMode="External" Target="https://www.legis.iowa.gov/docs/iac/rule/481.1036.3.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