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481—1036.1</w:t>
      </w:r>
      <w:r>
        <w:rPr>
          <w:rFonts w:ascii="Times New Roman" w:hAnsi="Times New Roman"/>
          <w:b/>
          <w:i w:val="false"/>
          <w:color w:val="000000"/>
          <w:sz w:val="22"/>
        </w:rPr>
        <w:t xml:space="preserve">(17A,272C,542) </w:t>
      </w:r>
      <w:r>
        <w:rPr>
          <w:rFonts w:ascii="Times New Roman" w:hAnsi="Times New Roman"/>
          <w:b/>
          <w:i w:val="false"/>
          <w:color w:val="000000"/>
          <w:sz w:val="22"/>
        </w:rPr>
        <w:t xml:space="preserve">Initiation of disciplinary proceedings. </w:t>
      </w:r>
      <w:r>
        <w:rPr>
          <w:rFonts w:ascii="Times New Roman" w:hAnsi="Times New Roman"/>
          <w:b w:val="false"/>
          <w:i w:val="false"/>
          <w:color w:val="000000"/>
          <w:sz w:val="22"/>
        </w:rPr>
        <w:t xml:space="preserve">Disciplinary proceedings may be initiated only by the affirmative vote of a majority of a quorum of the board at a public meeting. Board members who are disqualified will be excluded in determining whether a quorum exists. If, for example, two members of the board are disqualified, four members of the board constitutes a quorum of the remaining six board members for purposes of voting on the case in which the two members are disqualified. When three or more members of the board are disqualified or otherwise unavailable for any reason, the administrator may request the special appointment of one or more substitute board members pursuant to Iowa Code section </w:t>
      </w:r>
      <w:hyperlink r:id="rId4">
        <w:r>
          <w:rPr>
            <w:rStyle w:val="Hyperlink"/>
            <w:rFonts w:ascii="Times New Roman" w:hAnsi="Times New Roman"/>
            <w:b w:val="false"/>
            <w:i w:val="false"/>
            <w:color w:val="000000"/>
            <w:sz w:val="22"/>
          </w:rPr>
          <w:t>17A.11(5)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